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FD79" w14:textId="77777777" w:rsidR="00F6347F" w:rsidRPr="006A061D" w:rsidRDefault="00F6347F" w:rsidP="006A061D">
      <w:pPr>
        <w:pStyle w:val="iso-tekst"/>
      </w:pPr>
    </w:p>
    <w:p w14:paraId="4767BCA2" w14:textId="77777777" w:rsidR="00F6347F" w:rsidRPr="00AD3ECC" w:rsidRDefault="00F6347F" w:rsidP="006A061D">
      <w:pPr>
        <w:rPr>
          <w:rStyle w:val="Teksttreci3"/>
          <w:rFonts w:ascii="Open Sans" w:hAnsi="Open Sans" w:cs="Open Sans"/>
          <w:sz w:val="20"/>
          <w:szCs w:val="20"/>
        </w:rPr>
      </w:pPr>
      <w:r>
        <w:rPr>
          <w:noProof/>
        </w:rPr>
        <w:drawing>
          <wp:inline distT="0" distB="0" distL="0" distR="0" wp14:anchorId="4CF0C3B0" wp14:editId="4B902276">
            <wp:extent cx="1811655" cy="558800"/>
            <wp:effectExtent l="0" t="0" r="0" b="0"/>
            <wp:docPr id="1" name="Obraz 1" descr="Strona g&amp;lstrok;ó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ona g&amp;lstrok;ów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1655" cy="558800"/>
                    </a:xfrm>
                    <a:prstGeom prst="rect">
                      <a:avLst/>
                    </a:prstGeom>
                    <a:noFill/>
                    <a:ln>
                      <a:noFill/>
                    </a:ln>
                  </pic:spPr>
                </pic:pic>
              </a:graphicData>
            </a:graphic>
          </wp:inline>
        </w:drawing>
      </w:r>
    </w:p>
    <w:p w14:paraId="71BC7D19" w14:textId="77777777" w:rsidR="00F6347F" w:rsidRPr="00AD3ECC" w:rsidRDefault="00F6347F" w:rsidP="006A061D">
      <w:pPr>
        <w:rPr>
          <w:rStyle w:val="Teksttreci3"/>
          <w:rFonts w:ascii="Open Sans" w:hAnsi="Open Sans" w:cs="Open Sans"/>
          <w:sz w:val="20"/>
          <w:szCs w:val="20"/>
        </w:rPr>
      </w:pPr>
    </w:p>
    <w:p w14:paraId="225026FB" w14:textId="77777777" w:rsidR="00F6347F" w:rsidRPr="00AD3ECC" w:rsidRDefault="00F6347F" w:rsidP="006A061D">
      <w:pPr>
        <w:rPr>
          <w:rStyle w:val="Teksttreci3"/>
          <w:rFonts w:ascii="Open Sans" w:hAnsi="Open Sans" w:cs="Open Sans"/>
          <w:sz w:val="20"/>
          <w:szCs w:val="20"/>
        </w:rPr>
      </w:pPr>
    </w:p>
    <w:tbl>
      <w:tblPr>
        <w:tblStyle w:val="Tabela-Siatka"/>
        <w:tblW w:w="0" w:type="auto"/>
        <w:tblInd w:w="426" w:type="dxa"/>
        <w:tblCellMar>
          <w:top w:w="108" w:type="dxa"/>
          <w:bottom w:w="108" w:type="dxa"/>
        </w:tblCellMar>
        <w:tblLook w:val="04A0" w:firstRow="1" w:lastRow="0" w:firstColumn="1" w:lastColumn="0" w:noHBand="0" w:noVBand="1"/>
      </w:tblPr>
      <w:tblGrid>
        <w:gridCol w:w="9495"/>
      </w:tblGrid>
      <w:tr w:rsidR="002273EE" w:rsidRPr="00AD3ECC" w14:paraId="0B554D3F" w14:textId="77777777" w:rsidTr="00C93911">
        <w:tc>
          <w:tcPr>
            <w:tcW w:w="9911" w:type="dxa"/>
            <w:tcBorders>
              <w:top w:val="single" w:sz="4" w:space="0" w:color="986A4E"/>
              <w:left w:val="nil"/>
              <w:bottom w:val="single" w:sz="4" w:space="0" w:color="986A4E"/>
              <w:right w:val="nil"/>
            </w:tcBorders>
          </w:tcPr>
          <w:p w14:paraId="15A8E491" w14:textId="3EBE9211" w:rsidR="00C93911" w:rsidRPr="00AD3ECC" w:rsidRDefault="00C93911" w:rsidP="00FC34ED">
            <w:pPr>
              <w:rPr>
                <w:rFonts w:eastAsia="Calibri"/>
                <w:color w:val="000000"/>
              </w:rPr>
            </w:pPr>
            <w:bookmarkStart w:id="0" w:name="_Hlk146025569"/>
            <w:bookmarkStart w:id="1" w:name="_Hlk177721953"/>
            <w:bookmarkStart w:id="2" w:name="_Hlk206061358"/>
            <w:r>
              <w:t xml:space="preserve"> </w:t>
            </w:r>
            <w:r>
              <w:rPr>
                <w:b/>
              </w:rPr>
              <w:t>KGHM POLSKA MIEDŹ S.A. CAPITAL GROUP                                                                 PROCEDURE FOR ACCEPTING INTERNAL REPORTS OF LEGAL VIOLATIONS AND TAKING FOLLOW-UP ACTION</w:t>
            </w:r>
            <w:r>
              <w:rPr>
                <w:b/>
                <w:sz w:val="24"/>
              </w:rPr>
              <w:t xml:space="preserve"> </w:t>
            </w:r>
            <w:bookmarkEnd w:id="0"/>
            <w:bookmarkEnd w:id="1"/>
          </w:p>
        </w:tc>
      </w:tr>
      <w:bookmarkEnd w:id="2"/>
    </w:tbl>
    <w:p w14:paraId="28AB252F" w14:textId="77777777" w:rsidR="00F6347F" w:rsidRPr="00AD3ECC" w:rsidRDefault="00F6347F" w:rsidP="006A061D"/>
    <w:p w14:paraId="48BE3804" w14:textId="77777777" w:rsidR="00F6347F" w:rsidRPr="00AD3ECC" w:rsidRDefault="00F6347F" w:rsidP="006A061D"/>
    <w:p w14:paraId="4477D748" w14:textId="77777777" w:rsidR="00F6347F" w:rsidRPr="00AD3ECC" w:rsidRDefault="00F6347F" w:rsidP="006A061D"/>
    <w:p w14:paraId="448AB93A" w14:textId="77777777" w:rsidR="00F6347F" w:rsidRPr="00AD3ECC" w:rsidRDefault="00F6347F" w:rsidP="006A061D"/>
    <w:p w14:paraId="18F0B845" w14:textId="77777777" w:rsidR="00F6347F" w:rsidRPr="00AD3ECC" w:rsidRDefault="00F6347F" w:rsidP="006A061D">
      <w:pPr>
        <w:pStyle w:val="iso-tekst"/>
      </w:pPr>
    </w:p>
    <w:p w14:paraId="65D9EC81" w14:textId="77777777" w:rsidR="00F6347F" w:rsidRPr="00AD3ECC" w:rsidRDefault="00F6347F" w:rsidP="006A061D">
      <w:pPr>
        <w:pStyle w:val="iso-tekst"/>
      </w:pPr>
    </w:p>
    <w:p w14:paraId="74530EF7" w14:textId="77777777" w:rsidR="00F6347F" w:rsidRPr="00AD3ECC" w:rsidRDefault="00F6347F" w:rsidP="006A061D">
      <w:bookmarkStart w:id="3" w:name="_Toc443245650"/>
      <w:r>
        <w:br w:type="page"/>
      </w:r>
    </w:p>
    <w:p w14:paraId="31720E78" w14:textId="77777777" w:rsidR="00F6347F" w:rsidRPr="00AD3ECC" w:rsidRDefault="00F6347F" w:rsidP="006A061D">
      <w:pPr>
        <w:sectPr w:rsidR="00F6347F" w:rsidRPr="00AD3ECC" w:rsidSect="00C93911">
          <w:footerReference w:type="default" r:id="rId10"/>
          <w:headerReference w:type="first" r:id="rId11"/>
          <w:pgSz w:w="11906" w:h="16838"/>
          <w:pgMar w:top="1560" w:right="851" w:bottom="1134" w:left="1134" w:header="425" w:footer="696" w:gutter="0"/>
          <w:cols w:space="708"/>
          <w:titlePg/>
          <w:docGrid w:linePitch="326"/>
        </w:sectPr>
      </w:pPr>
    </w:p>
    <w:p w14:paraId="19F52DFE" w14:textId="77777777" w:rsidR="000C4530" w:rsidRDefault="00456CD6" w:rsidP="00657C75">
      <w:pPr>
        <w:pStyle w:val="Nagwek1"/>
        <w:numPr>
          <w:ilvl w:val="0"/>
          <w:numId w:val="0"/>
        </w:numPr>
        <w:ind w:left="426" w:hanging="426"/>
        <w:jc w:val="center"/>
      </w:pPr>
      <w:r>
        <w:t xml:space="preserve">§ 1 </w:t>
      </w:r>
    </w:p>
    <w:p w14:paraId="7FA1EB6E" w14:textId="656CCCAE" w:rsidR="00F6347F" w:rsidRPr="00AD3ECC" w:rsidRDefault="00F6347F" w:rsidP="00390908">
      <w:pPr>
        <w:pStyle w:val="Nagwek1"/>
        <w:numPr>
          <w:ilvl w:val="0"/>
          <w:numId w:val="0"/>
        </w:numPr>
        <w:jc w:val="center"/>
      </w:pPr>
      <w:r>
        <w:t>PURPOSE OF THE PROCEDURE</w:t>
      </w:r>
      <w:bookmarkEnd w:id="3"/>
    </w:p>
    <w:p w14:paraId="14C84C84" w14:textId="7AE936CC" w:rsidR="00F6347F" w:rsidRPr="00AD3ECC" w:rsidRDefault="00F6347F" w:rsidP="00390908">
      <w:pPr>
        <w:ind w:left="0"/>
      </w:pPr>
      <w:r>
        <w:t>The purpose of this procedure is to implement the requirements of the law and standards set out in internal regulations regarding the creation of internal channels for reporting irregularities, as well as to define the rules and methods for reporting information about violations of the law obtained in a work-related context.</w:t>
      </w:r>
    </w:p>
    <w:p w14:paraId="7E342D2D" w14:textId="77777777" w:rsidR="000C4530" w:rsidRDefault="00456CD6" w:rsidP="00390908">
      <w:pPr>
        <w:pStyle w:val="Nagwek1"/>
        <w:numPr>
          <w:ilvl w:val="0"/>
          <w:numId w:val="0"/>
        </w:numPr>
        <w:jc w:val="center"/>
      </w:pPr>
      <w:bookmarkStart w:id="4" w:name="_Toc495678484"/>
      <w:r>
        <w:t xml:space="preserve">§ 2 </w:t>
      </w:r>
    </w:p>
    <w:p w14:paraId="2DA58778" w14:textId="6DF229A2" w:rsidR="00F6347F" w:rsidRPr="00AD3ECC" w:rsidRDefault="00F6347F" w:rsidP="00390908">
      <w:pPr>
        <w:pStyle w:val="Nagwek1"/>
        <w:numPr>
          <w:ilvl w:val="0"/>
          <w:numId w:val="0"/>
        </w:numPr>
        <w:jc w:val="center"/>
      </w:pPr>
      <w:r>
        <w:t>MATERIAL SCOPE OF THE PROCEDURE</w:t>
      </w:r>
      <w:bookmarkEnd w:id="4"/>
    </w:p>
    <w:p w14:paraId="4DB07293" w14:textId="57B190F5" w:rsidR="00F6347F" w:rsidRPr="00AD3ECC" w:rsidRDefault="00F6347F" w:rsidP="00657C75">
      <w:pPr>
        <w:pStyle w:val="Akapitzlist"/>
        <w:numPr>
          <w:ilvl w:val="0"/>
          <w:numId w:val="30"/>
        </w:numPr>
        <w:ind w:left="426" w:hanging="426"/>
      </w:pPr>
      <w:r>
        <w:t>This Procedure covers the following areas of Reporting:</w:t>
      </w:r>
    </w:p>
    <w:p w14:paraId="052843D4" w14:textId="0C2CAAE3" w:rsidR="00F6347F" w:rsidRPr="00AD3ECC" w:rsidRDefault="00F6347F" w:rsidP="0046243E">
      <w:pPr>
        <w:pStyle w:val="Bulletabc"/>
        <w:numPr>
          <w:ilvl w:val="0"/>
          <w:numId w:val="16"/>
        </w:numPr>
        <w:ind w:left="1134" w:hanging="567"/>
      </w:pPr>
      <w:r>
        <w:t>In terms of requirements under generally applicable law:</w:t>
      </w:r>
    </w:p>
    <w:p w14:paraId="3F963365" w14:textId="13DC1B7E" w:rsidR="00CE5504" w:rsidRPr="00AD3ECC" w:rsidRDefault="0048566C" w:rsidP="00390908">
      <w:pPr>
        <w:pStyle w:val="Bullet-"/>
        <w:ind w:left="1560" w:hanging="426"/>
      </w:pPr>
      <w:r>
        <w:t xml:space="preserve">reports on violations of the law specified in the Act of 14 June 2024 </w:t>
      </w:r>
      <w:bookmarkStart w:id="5" w:name="_Hlk178830720"/>
      <w:r>
        <w:t xml:space="preserve">on the Protection of Whistleblowers, within the scope indicated </w:t>
      </w:r>
      <w:bookmarkEnd w:id="5"/>
      <w:r>
        <w:t xml:space="preserve">in </w:t>
      </w:r>
      <w:r>
        <w:rPr>
          <w:b/>
        </w:rPr>
        <w:t>Appendix 1</w:t>
      </w:r>
      <w:r>
        <w:t xml:space="preserve"> to this Procedure;</w:t>
      </w:r>
    </w:p>
    <w:p w14:paraId="10561FE4" w14:textId="289E2CFA" w:rsidR="00F6347F" w:rsidRPr="00AD3ECC" w:rsidRDefault="0048566C" w:rsidP="00390908">
      <w:pPr>
        <w:pStyle w:val="Bullet-"/>
        <w:ind w:left="1560" w:hanging="426"/>
      </w:pPr>
      <w:r>
        <w:t>anonymous reports pursuant to Article 97d of the Act of 29 July 2005 Public Offering, Conditions Governing the Introduction of Financial Instruments to Organised Trading, and Public Companies;</w:t>
      </w:r>
    </w:p>
    <w:p w14:paraId="2789E66F" w14:textId="1C7226BA" w:rsidR="00503300" w:rsidRPr="00AD3ECC" w:rsidRDefault="0048566C" w:rsidP="00390908">
      <w:pPr>
        <w:pStyle w:val="Bullet-"/>
        <w:ind w:left="1560" w:hanging="426"/>
      </w:pPr>
      <w:r>
        <w:t>reports resulting from the Act of 13 May 2016 on Counteracting Threats of Sexual Crime and the Protection of Minors.</w:t>
      </w:r>
    </w:p>
    <w:p w14:paraId="48A84AD8" w14:textId="400FC1D9" w:rsidR="00F6347F" w:rsidRPr="00AD3ECC" w:rsidRDefault="00F6347F" w:rsidP="00657C75">
      <w:pPr>
        <w:pStyle w:val="Bulletabc"/>
        <w:numPr>
          <w:ilvl w:val="0"/>
          <w:numId w:val="16"/>
        </w:numPr>
        <w:ind w:left="426" w:hanging="426"/>
      </w:pPr>
      <w:r>
        <w:lastRenderedPageBreak/>
        <w:t>In terms of requirements arising from internally applicable legal regulations, classified as Reports concerning actions detrimental to the KGHM Polska Miedź S.A. Capital Group:</w:t>
      </w:r>
    </w:p>
    <w:p w14:paraId="2CFD53B3" w14:textId="79B2BFF9" w:rsidR="00CE5504" w:rsidRPr="00AD3ECC" w:rsidRDefault="00A82FF8" w:rsidP="0046243E">
      <w:pPr>
        <w:pStyle w:val="Bullet-"/>
        <w:numPr>
          <w:ilvl w:val="0"/>
          <w:numId w:val="28"/>
        </w:numPr>
        <w:ind w:left="1560" w:hanging="426"/>
      </w:pPr>
      <w:r>
        <w:t>Procedure for control activities of the Security and Loss Prevention Section of KGHM Polska Miedź S.A.;</w:t>
      </w:r>
    </w:p>
    <w:p w14:paraId="7DAAA1E0" w14:textId="597BB528" w:rsidR="00C74FF7" w:rsidRPr="00AD3ECC" w:rsidRDefault="00346B86" w:rsidP="0046243E">
      <w:pPr>
        <w:pStyle w:val="Bullet-"/>
        <w:numPr>
          <w:ilvl w:val="0"/>
          <w:numId w:val="28"/>
        </w:numPr>
        <w:ind w:left="1560" w:hanging="426"/>
      </w:pPr>
      <w:r>
        <w:t>Procedure for control activities and procurement processes in the KGHM Polska Miedź S.A. Capital Group;</w:t>
      </w:r>
    </w:p>
    <w:p w14:paraId="25B4DBBD" w14:textId="79E1A98D" w:rsidR="00C74FF7" w:rsidRPr="00AD3ECC" w:rsidRDefault="00C74FF7" w:rsidP="0046243E">
      <w:pPr>
        <w:pStyle w:val="Bullet-"/>
        <w:numPr>
          <w:ilvl w:val="0"/>
          <w:numId w:val="28"/>
        </w:numPr>
        <w:ind w:left="1560" w:hanging="426"/>
      </w:pPr>
      <w:r>
        <w:t>Personal Data Protection Policy;</w:t>
      </w:r>
    </w:p>
    <w:p w14:paraId="25B23F5B" w14:textId="39535D75" w:rsidR="00CE5504" w:rsidRPr="00AD3ECC" w:rsidRDefault="00C74FF7" w:rsidP="0046243E">
      <w:pPr>
        <w:pStyle w:val="Bullet-"/>
        <w:numPr>
          <w:ilvl w:val="0"/>
          <w:numId w:val="28"/>
        </w:numPr>
        <w:ind w:left="1560" w:hanging="426"/>
      </w:pPr>
      <w:r>
        <w:t>Information Security Policy.</w:t>
      </w:r>
    </w:p>
    <w:p w14:paraId="16CD00B5" w14:textId="79D6F512" w:rsidR="00F6347F" w:rsidRPr="00AD3ECC" w:rsidRDefault="00F6347F" w:rsidP="00657C75">
      <w:pPr>
        <w:pStyle w:val="Bulletabc"/>
        <w:numPr>
          <w:ilvl w:val="0"/>
          <w:numId w:val="16"/>
        </w:numPr>
        <w:ind w:left="426" w:hanging="426"/>
      </w:pPr>
      <w:r>
        <w:t>In terms of requirements arising from internally applicable legal regulations, the following are classified as ethical reports:</w:t>
      </w:r>
    </w:p>
    <w:p w14:paraId="6CC88766" w14:textId="6132873F" w:rsidR="00461D40" w:rsidRPr="00AD3ECC" w:rsidRDefault="0069454F" w:rsidP="0046243E">
      <w:pPr>
        <w:pStyle w:val="Bullet-"/>
        <w:numPr>
          <w:ilvl w:val="0"/>
          <w:numId w:val="17"/>
        </w:numPr>
        <w:ind w:left="1560" w:hanging="426"/>
      </w:pPr>
      <w:r>
        <w:t>Code of Ethics of the KGHM Polska Miedź S.A. Group;</w:t>
      </w:r>
    </w:p>
    <w:p w14:paraId="16EF014C" w14:textId="1D1DDDFF" w:rsidR="003B0B8E" w:rsidRPr="00AD3ECC" w:rsidRDefault="0069454F" w:rsidP="0046243E">
      <w:pPr>
        <w:pStyle w:val="Bullet-"/>
        <w:numPr>
          <w:ilvl w:val="0"/>
          <w:numId w:val="17"/>
        </w:numPr>
        <w:ind w:left="1560" w:hanging="426"/>
      </w:pPr>
      <w:r>
        <w:t>Code of Conduct at the KGHM Polska Miedź S.A.;</w:t>
      </w:r>
    </w:p>
    <w:p w14:paraId="4E2F4187" w14:textId="1DDA49BE" w:rsidR="008C1873" w:rsidRPr="00AD3ECC" w:rsidRDefault="0069454F" w:rsidP="0046243E">
      <w:pPr>
        <w:pStyle w:val="Bullet-"/>
        <w:numPr>
          <w:ilvl w:val="0"/>
          <w:numId w:val="17"/>
        </w:numPr>
        <w:ind w:left="1560" w:hanging="426"/>
      </w:pPr>
      <w:r>
        <w:t>Human Rights Policy at the KGHM Polska Miedź S.A.</w:t>
      </w:r>
    </w:p>
    <w:p w14:paraId="1C9F6938" w14:textId="6A554430" w:rsidR="00751BAC" w:rsidRPr="00AD3ECC" w:rsidRDefault="008C1873" w:rsidP="0046243E">
      <w:pPr>
        <w:pStyle w:val="Bullet-"/>
        <w:numPr>
          <w:ilvl w:val="0"/>
          <w:numId w:val="17"/>
        </w:numPr>
        <w:ind w:left="1560" w:hanging="426"/>
      </w:pPr>
      <w:r>
        <w:t>Responsible Supply Chain Policy at the KGHM Polska Miedź S.A. Group.</w:t>
      </w:r>
    </w:p>
    <w:p w14:paraId="1A368A2C" w14:textId="77777777" w:rsidR="000C4530" w:rsidRDefault="00456CD6" w:rsidP="00390908">
      <w:pPr>
        <w:pStyle w:val="Nagwek1"/>
        <w:numPr>
          <w:ilvl w:val="0"/>
          <w:numId w:val="0"/>
        </w:numPr>
        <w:jc w:val="center"/>
      </w:pPr>
      <w:r>
        <w:t xml:space="preserve">§ 3 </w:t>
      </w:r>
    </w:p>
    <w:p w14:paraId="2FCB4F32" w14:textId="4EFB4FF0" w:rsidR="00F6347F" w:rsidRPr="00AD3ECC" w:rsidRDefault="00F6347F" w:rsidP="00390908">
      <w:pPr>
        <w:pStyle w:val="Nagwek1"/>
        <w:numPr>
          <w:ilvl w:val="0"/>
          <w:numId w:val="0"/>
        </w:numPr>
        <w:jc w:val="center"/>
      </w:pPr>
      <w:r>
        <w:t>PERSONAL SCOPE OF THE PROCEDURE</w:t>
      </w:r>
    </w:p>
    <w:p w14:paraId="25A9EF95" w14:textId="41D9E5AC" w:rsidR="00F6347F" w:rsidRPr="00AD3ECC" w:rsidRDefault="00751BAC" w:rsidP="00657C75">
      <w:pPr>
        <w:pStyle w:val="Akapitzlist"/>
        <w:numPr>
          <w:ilvl w:val="0"/>
          <w:numId w:val="31"/>
        </w:numPr>
        <w:ind w:left="426" w:hanging="426"/>
      </w:pPr>
      <w:r>
        <w:t>This Procedure applies to all entities of the KGHM Group. The provisions of the Procedure are binding on all persons making a Report under its provisions.</w:t>
      </w:r>
    </w:p>
    <w:p w14:paraId="6FFD7CFF" w14:textId="77777777" w:rsidR="000C4530" w:rsidRDefault="00456CD6" w:rsidP="00390908">
      <w:pPr>
        <w:pStyle w:val="Nagwek1"/>
        <w:numPr>
          <w:ilvl w:val="0"/>
          <w:numId w:val="0"/>
        </w:numPr>
        <w:jc w:val="center"/>
      </w:pPr>
      <w:r>
        <w:t xml:space="preserve">§ 4 </w:t>
      </w:r>
    </w:p>
    <w:p w14:paraId="0358E65F" w14:textId="1366F624" w:rsidR="00F6347F" w:rsidRPr="00AD3ECC" w:rsidRDefault="00F6347F" w:rsidP="00390908">
      <w:pPr>
        <w:pStyle w:val="Nagwek1"/>
        <w:numPr>
          <w:ilvl w:val="0"/>
          <w:numId w:val="0"/>
        </w:numPr>
        <w:jc w:val="center"/>
      </w:pPr>
      <w:r>
        <w:t>TERMS AND DEFINITIONS</w:t>
      </w:r>
    </w:p>
    <w:p w14:paraId="048A89AE" w14:textId="7D8B48B0" w:rsidR="00F6347F" w:rsidRPr="00AD3ECC" w:rsidRDefault="00F6347F" w:rsidP="00657C75">
      <w:pPr>
        <w:pStyle w:val="Akapit1"/>
        <w:ind w:left="426" w:hanging="426"/>
      </w:pPr>
      <w:r>
        <w:rPr>
          <w:rStyle w:val="Akapit2Znak"/>
          <w:b/>
        </w:rPr>
        <w:t>KGHM Head Office</w:t>
      </w:r>
      <w:r>
        <w:t>: the organisational unit of KGHM performing central management, supervisory, control and coordination functions specified in the Organisational Regulations of the KGHM Polska Miedź S.A. in Lubin;</w:t>
      </w:r>
    </w:p>
    <w:p w14:paraId="61CECE14" w14:textId="7BFF9B79" w:rsidR="00D278A1" w:rsidRPr="00AD3ECC" w:rsidRDefault="00F6347F" w:rsidP="00657C75">
      <w:pPr>
        <w:pStyle w:val="Akapit1"/>
        <w:ind w:left="426" w:hanging="426"/>
      </w:pPr>
      <w:r>
        <w:rPr>
          <w:b/>
        </w:rPr>
        <w:t>LB Department</w:t>
      </w:r>
      <w:r>
        <w:t xml:space="preserve">: Security and Internal Control Department; </w:t>
      </w:r>
    </w:p>
    <w:p w14:paraId="4ACE02A1" w14:textId="7360C0BB" w:rsidR="00D278A1" w:rsidRPr="00AD3ECC" w:rsidRDefault="000E4E15" w:rsidP="00657C75">
      <w:pPr>
        <w:pStyle w:val="Akapit1"/>
        <w:ind w:left="426" w:hanging="426"/>
      </w:pPr>
      <w:r>
        <w:rPr>
          <w:b/>
        </w:rPr>
        <w:t>ZR Department</w:t>
      </w:r>
      <w:r>
        <w:t>: Corporate Risk and Compliance Management Department;</w:t>
      </w:r>
    </w:p>
    <w:p w14:paraId="0E3932D1" w14:textId="35A94890" w:rsidR="00F6347F" w:rsidRPr="00AD3ECC" w:rsidRDefault="00F6347F" w:rsidP="00657C75">
      <w:pPr>
        <w:pStyle w:val="Akapit1"/>
        <w:ind w:left="426" w:hanging="426"/>
      </w:pPr>
      <w:r>
        <w:rPr>
          <w:b/>
          <w:bCs/>
        </w:rPr>
        <w:t>Follow-up action</w:t>
      </w:r>
      <w:r>
        <w:t>: action taken to assess and consider the information contained in an internal report, in particular through an investigation, the initiation of an inspection or work undertaken by the Ethics Committee;</w:t>
      </w:r>
    </w:p>
    <w:p w14:paraId="435F29A2" w14:textId="37358B81" w:rsidR="00F6347F" w:rsidRPr="00AD3ECC" w:rsidRDefault="00F6347F" w:rsidP="00657C75">
      <w:pPr>
        <w:pStyle w:val="Akapit1"/>
        <w:ind w:left="426" w:hanging="426"/>
      </w:pPr>
      <w:r>
        <w:rPr>
          <w:b/>
          <w:bCs/>
        </w:rPr>
        <w:t>Retaliatory action</w:t>
      </w:r>
      <w:r>
        <w:t>: direct or indirect negative action caused by an internal or external report, or public disclosure, which violates or may violate the rights of the person making the report, causing or likely to cause harm to that person;</w:t>
      </w:r>
    </w:p>
    <w:p w14:paraId="53FA5C57" w14:textId="1C35B3A0" w:rsidR="00085730" w:rsidRPr="00AD3ECC" w:rsidRDefault="00085730" w:rsidP="00657C75">
      <w:pPr>
        <w:pStyle w:val="Akapit1"/>
        <w:ind w:left="426" w:hanging="426"/>
      </w:pPr>
      <w:r>
        <w:rPr>
          <w:b/>
          <w:bCs/>
        </w:rPr>
        <w:t>Acting in good faith</w:t>
      </w:r>
      <w:r>
        <w:t xml:space="preserve">: making a Report by the Whistleblower, provided that he/she had reasonable grounds to believe that the information being the subject of the Report or public disclosure was true at the time of making the Report or public disclosure and that it constituted information about a violation of the law; </w:t>
      </w:r>
    </w:p>
    <w:p w14:paraId="373AF62A" w14:textId="474E7234" w:rsidR="00F6347F" w:rsidRPr="00AD3ECC" w:rsidRDefault="00F6347F" w:rsidP="00657C75">
      <w:pPr>
        <w:pStyle w:val="Akapit1"/>
        <w:ind w:left="426" w:hanging="426"/>
      </w:pPr>
      <w:r>
        <w:rPr>
          <w:b/>
          <w:bCs/>
        </w:rPr>
        <w:t>KGHM Group</w:t>
      </w:r>
      <w:r>
        <w:t>: KGHM Polska Miedź S.A. Capital Group, consisting of the Head Office of KGHM Polska Miedź S.A. with its registered office in Lubin, Branches of KGHM Polska Miedź S.A. and direct and indirect subsidiaries;</w:t>
      </w:r>
    </w:p>
    <w:p w14:paraId="6703D995" w14:textId="5338B9D8" w:rsidR="00000B6C" w:rsidRPr="00AD3ECC" w:rsidRDefault="00F6347F" w:rsidP="00657C75">
      <w:pPr>
        <w:pStyle w:val="Akapit1"/>
        <w:ind w:left="426" w:hanging="426"/>
      </w:pPr>
      <w:r>
        <w:rPr>
          <w:b/>
        </w:rPr>
        <w:lastRenderedPageBreak/>
        <w:t>Anonymous information</w:t>
      </w:r>
      <w:r>
        <w:t xml:space="preserve">: information that does not directly or indirectly contain the personal data of the person providing it; </w:t>
      </w:r>
    </w:p>
    <w:p w14:paraId="371BAB60" w14:textId="5A4BCA26" w:rsidR="00F6347F" w:rsidRPr="00AD3ECC" w:rsidRDefault="00F6347F" w:rsidP="00657C75">
      <w:pPr>
        <w:pStyle w:val="Akapit1"/>
        <w:ind w:left="426" w:hanging="426"/>
      </w:pPr>
      <w:r>
        <w:rPr>
          <w:b/>
          <w:bCs/>
        </w:rPr>
        <w:t>Information about a violation of the law</w:t>
      </w:r>
      <w:r>
        <w:t>: information, including reasonable suspicion, concerning an actual or potential violation of the law within the KGHM Group, and information about an attempt to conceal a violation of the law;</w:t>
      </w:r>
    </w:p>
    <w:p w14:paraId="45ED4D27" w14:textId="3B67FF04" w:rsidR="00F6347F" w:rsidRPr="00AD3ECC" w:rsidRDefault="00F6347F" w:rsidP="00657C75">
      <w:pPr>
        <w:pStyle w:val="Akapit1"/>
        <w:ind w:left="426" w:hanging="426"/>
      </w:pPr>
      <w:r>
        <w:rPr>
          <w:b/>
          <w:bCs/>
        </w:rPr>
        <w:t>Feedback</w:t>
      </w:r>
      <w:r>
        <w:t>: information provided to the person making the report on planned or taken follow-up actions and explanations of the reasons for such actions;</w:t>
      </w:r>
    </w:p>
    <w:p w14:paraId="3BB5AA8F" w14:textId="694838E6" w:rsidR="00F6347F" w:rsidRPr="00AD3ECC" w:rsidRDefault="00F6347F" w:rsidP="00657C75">
      <w:pPr>
        <w:pStyle w:val="Akapit1"/>
        <w:ind w:left="426" w:hanging="426"/>
      </w:pPr>
      <w:r>
        <w:rPr>
          <w:b/>
          <w:bCs/>
        </w:rPr>
        <w:t>KGHM</w:t>
      </w:r>
      <w:r>
        <w:t>: KGHM Polska Miedź S.A. In Lubin;</w:t>
      </w:r>
    </w:p>
    <w:p w14:paraId="435CFE2D" w14:textId="3D2D00CD" w:rsidR="00F6347F" w:rsidRPr="00AD3ECC" w:rsidRDefault="00F6347F" w:rsidP="00657C75">
      <w:pPr>
        <w:pStyle w:val="Akapit1"/>
        <w:ind w:left="426" w:hanging="426"/>
      </w:pPr>
      <w:r>
        <w:rPr>
          <w:b/>
          <w:bCs/>
        </w:rPr>
        <w:t>Workplace Manager</w:t>
      </w:r>
      <w:r>
        <w:t>: President of the Management Board of KGHM Polska Miedź S.A., President of the Management Board of a KGHM Group entity or a person with appropriate power of attorney, and for KGHM Branches – KGHM Branch Director or a person with appropriate power of attorney;</w:t>
      </w:r>
    </w:p>
    <w:p w14:paraId="618FD019" w14:textId="49C7ACA4" w:rsidR="00F6347F" w:rsidRPr="00AD3ECC" w:rsidRDefault="00F6347F" w:rsidP="00657C75">
      <w:pPr>
        <w:pStyle w:val="Akapit1"/>
        <w:ind w:left="426" w:hanging="426"/>
      </w:pPr>
      <w:r>
        <w:rPr>
          <w:b/>
          <w:bCs/>
        </w:rPr>
        <w:t>KGHM Branch</w:t>
      </w:r>
      <w:r>
        <w:t>: an organisational unit of KGHM Polska Miedź S.A. separated in accordance with the Organisational Regulations of the KGHM Polska Miedź S.A.;</w:t>
      </w:r>
    </w:p>
    <w:p w14:paraId="652F416C" w14:textId="38A0BCFD" w:rsidR="00F6347F" w:rsidRPr="00AD3ECC" w:rsidRDefault="00F6347F" w:rsidP="00657C75">
      <w:pPr>
        <w:pStyle w:val="Akapit1"/>
        <w:ind w:left="426" w:hanging="426"/>
      </w:pPr>
      <w:r>
        <w:rPr>
          <w:b/>
          <w:bCs/>
        </w:rPr>
        <w:t>Whistleblower</w:t>
      </w:r>
      <w:r>
        <w:t xml:space="preserve"> </w:t>
      </w:r>
      <w:r>
        <w:rPr>
          <w:b/>
          <w:bCs/>
        </w:rPr>
        <w:t>assistant</w:t>
      </w:r>
      <w:r>
        <w:t>: a natural person who assists the Whistleblower in making a Report in a work-related context and whose assistance should not be disclosed;</w:t>
      </w:r>
    </w:p>
    <w:p w14:paraId="60EDAD1D" w14:textId="02849A68" w:rsidR="00F6347F" w:rsidRPr="00AD3ECC" w:rsidRDefault="00F6347F" w:rsidP="00657C75">
      <w:pPr>
        <w:pStyle w:val="Akapit1"/>
        <w:ind w:left="426" w:hanging="426"/>
      </w:pPr>
      <w:r>
        <w:rPr>
          <w:b/>
          <w:bCs/>
        </w:rPr>
        <w:t>Person associated with the Whistleblower</w:t>
      </w:r>
      <w:r>
        <w:t>: a natural person who may experience retaliatory actions, including a colleague, a family member of the reporting person or a person cohabiting with the reporting person;</w:t>
      </w:r>
    </w:p>
    <w:p w14:paraId="19172C6C" w14:textId="34244AC5" w:rsidR="00F6347F" w:rsidRPr="00AD3ECC" w:rsidRDefault="00F6347F" w:rsidP="00657C75">
      <w:pPr>
        <w:pStyle w:val="Akapit1"/>
        <w:ind w:left="426" w:hanging="426"/>
      </w:pPr>
      <w:r>
        <w:rPr>
          <w:b/>
          <w:bCs/>
        </w:rPr>
        <w:t>Affected person</w:t>
      </w:r>
      <w:r>
        <w:t>: a person identified in the internal report as a person who, in the opinion of the Whistleblower, has committed a violation of the law or with whom that person is associated;</w:t>
      </w:r>
    </w:p>
    <w:p w14:paraId="63199DE5" w14:textId="6597C97F" w:rsidR="00F6347F" w:rsidRPr="00AD3ECC" w:rsidRDefault="00F6347F" w:rsidP="00657C75">
      <w:pPr>
        <w:pStyle w:val="Akapit1"/>
        <w:spacing w:line="276" w:lineRule="auto"/>
        <w:ind w:left="426" w:hanging="426"/>
      </w:pPr>
      <w:r>
        <w:rPr>
          <w:b/>
        </w:rPr>
        <w:t xml:space="preserve">KGHM Group entity: </w:t>
      </w:r>
      <w:r>
        <w:t>KGHM Polska Miedź S.A., the Head Office and Branches of KGHM Polska Miedź S.A. or a Company belonging to the KGHM Group;</w:t>
      </w:r>
    </w:p>
    <w:p w14:paraId="68CB39CC" w14:textId="7F736BD0" w:rsidR="00F6347F" w:rsidRPr="00AD3ECC" w:rsidRDefault="00F6347F" w:rsidP="00657C75">
      <w:pPr>
        <w:pStyle w:val="Akapit1"/>
        <w:ind w:left="426" w:hanging="426"/>
      </w:pPr>
      <w:r>
        <w:rPr>
          <w:b/>
        </w:rPr>
        <w:t xml:space="preserve">Employer: </w:t>
      </w:r>
      <w:r>
        <w:t>the Head Office of KGHM Polska Miedź S.A., KGHM Branches and KGHM Group Entities acting as employers;</w:t>
      </w:r>
    </w:p>
    <w:p w14:paraId="484A3694" w14:textId="19823F45" w:rsidR="00C74FF7" w:rsidRPr="00AD3ECC" w:rsidRDefault="00C74FF7" w:rsidP="00657C75">
      <w:pPr>
        <w:pStyle w:val="Akapit1"/>
        <w:spacing w:line="276" w:lineRule="auto"/>
        <w:ind w:left="426" w:hanging="426"/>
        <w:rPr>
          <w:rStyle w:val="cf11"/>
          <w:rFonts w:ascii="Open Sans" w:hAnsi="Open Sans" w:cs="Open Sans"/>
          <w:sz w:val="20"/>
          <w:szCs w:val="20"/>
        </w:rPr>
      </w:pPr>
      <w:r>
        <w:rPr>
          <w:rStyle w:val="cf01"/>
          <w:rFonts w:ascii="Open Sans" w:hAnsi="Open Sans"/>
          <w:sz w:val="20"/>
        </w:rPr>
        <w:t>Employee:</w:t>
      </w:r>
      <w:r>
        <w:rPr>
          <w:rStyle w:val="cf11"/>
          <w:rFonts w:ascii="Open Sans" w:hAnsi="Open Sans"/>
          <w:sz w:val="20"/>
        </w:rPr>
        <w:t xml:space="preserve"> </w:t>
      </w:r>
      <w:r>
        <w:t xml:space="preserve">a person employed by a KGHM Group entity under an employment contract and/or civil law contract or other legal relationship (e.g., appointment), regardless of his/her position in the organisational hierarchy, </w:t>
      </w:r>
      <w:r>
        <w:rPr>
          <w:rStyle w:val="cf11"/>
          <w:rFonts w:ascii="Open Sans" w:hAnsi="Open Sans"/>
          <w:sz w:val="20"/>
        </w:rPr>
        <w:t>a person recruited to a KGHM Group entity, as well as a person employed by a subcontractor of one of the above-mentioned entities;</w:t>
      </w:r>
    </w:p>
    <w:p w14:paraId="616FA8C3" w14:textId="057B10E6" w:rsidR="00751BAC" w:rsidRPr="00AD3ECC" w:rsidRDefault="00751BAC" w:rsidP="00657C75">
      <w:pPr>
        <w:pStyle w:val="Akapit1"/>
        <w:ind w:left="426" w:hanging="426"/>
      </w:pPr>
      <w:r>
        <w:rPr>
          <w:b/>
          <w:bCs/>
        </w:rPr>
        <w:t>Procedure</w:t>
      </w:r>
      <w:r>
        <w:rPr>
          <w:rStyle w:val="cf01"/>
          <w:rFonts w:ascii="Open Sans" w:hAnsi="Open Sans"/>
          <w:b w:val="0"/>
          <w:sz w:val="20"/>
        </w:rPr>
        <w:t>:</w:t>
      </w:r>
      <w:r>
        <w:t xml:space="preserve"> this ‘Procedure for accepting internal reports of legal violations and taking follow-up action in the KGHM Polska Miedź S.A. Group’;</w:t>
      </w:r>
    </w:p>
    <w:p w14:paraId="47F028BC" w14:textId="22985E28" w:rsidR="00F6347F" w:rsidRPr="00AD3ECC" w:rsidRDefault="00F6347F" w:rsidP="00657C75">
      <w:pPr>
        <w:pStyle w:val="Akapit1"/>
        <w:ind w:left="426" w:hanging="426"/>
      </w:pPr>
      <w:r>
        <w:rPr>
          <w:b/>
        </w:rPr>
        <w:t>Supervisor</w:t>
      </w:r>
      <w:r>
        <w:t>: a person appointed by the Employer as a person performing managerial and/or supervisory functions, and/or a person who is organisationally superior to the worker;</w:t>
      </w:r>
    </w:p>
    <w:p w14:paraId="42759987" w14:textId="34C1FAE1" w:rsidR="006973CD" w:rsidRPr="00AD3ECC" w:rsidRDefault="006973CD" w:rsidP="00657C75">
      <w:pPr>
        <w:pStyle w:val="Akapit1"/>
        <w:ind w:left="426" w:hanging="426"/>
      </w:pPr>
      <w:r>
        <w:rPr>
          <w:b/>
        </w:rPr>
        <w:t>Whistleblower</w:t>
      </w:r>
      <w:r>
        <w:t>: a natural person who reports or publicly discloses information about a violation of the law obtained in a work-related context as set out in point 2 of the Procedure.   The Whistleblower is entitled to protection under the Act of 14 June 2024 on the Protection of Whistleblowers;</w:t>
      </w:r>
    </w:p>
    <w:p w14:paraId="47E32035" w14:textId="4FA4BE1D" w:rsidR="00F6347F" w:rsidRPr="00AD3ECC" w:rsidRDefault="00F6347F" w:rsidP="00657C75">
      <w:pPr>
        <w:pStyle w:val="Akapit1"/>
        <w:ind w:left="426" w:hanging="426"/>
      </w:pPr>
      <w:r>
        <w:rPr>
          <w:b/>
          <w:bCs/>
        </w:rPr>
        <w:lastRenderedPageBreak/>
        <w:t>Internal report</w:t>
      </w:r>
      <w:r>
        <w:t>: oral or written communication of information about a violation of the law specified in paragraph 2 of the Procedure, made through dedicated internal channels in a manner that ensures its confidentiality;</w:t>
      </w:r>
    </w:p>
    <w:p w14:paraId="316C0FC6" w14:textId="0D224E8D" w:rsidR="00346B86" w:rsidRPr="00AD3ECC" w:rsidRDefault="00F6347F" w:rsidP="00657C75">
      <w:pPr>
        <w:pStyle w:val="Akapit1"/>
        <w:ind w:left="426" w:hanging="426"/>
      </w:pPr>
      <w:r>
        <w:rPr>
          <w:b/>
        </w:rPr>
        <w:t>External report</w:t>
      </w:r>
      <w:r>
        <w:t>: oral or written communication of information about irregularities to the competent authorities indicated in the applicable regulations;</w:t>
      </w:r>
    </w:p>
    <w:p w14:paraId="6F5768EB" w14:textId="434111E2" w:rsidR="00F6347F" w:rsidRPr="00AD3ECC" w:rsidRDefault="000C1316" w:rsidP="00657C75">
      <w:pPr>
        <w:pStyle w:val="Akapit1"/>
        <w:ind w:left="426" w:hanging="426"/>
      </w:pPr>
      <w:r>
        <w:rPr>
          <w:b/>
        </w:rPr>
        <w:t>Public disclosure</w:t>
      </w:r>
      <w:r>
        <w:t>: disclosure of information about a violation of the law to the public.</w:t>
      </w:r>
    </w:p>
    <w:p w14:paraId="7D94D070" w14:textId="77777777" w:rsidR="000C4530" w:rsidRDefault="00456CD6" w:rsidP="00390908">
      <w:pPr>
        <w:pStyle w:val="Nagwek1"/>
        <w:numPr>
          <w:ilvl w:val="0"/>
          <w:numId w:val="0"/>
        </w:numPr>
        <w:jc w:val="center"/>
      </w:pPr>
      <w:r>
        <w:t xml:space="preserve">§ 5 </w:t>
      </w:r>
    </w:p>
    <w:p w14:paraId="0760ED25" w14:textId="24A58966" w:rsidR="00F6347F" w:rsidRPr="00AD3ECC" w:rsidRDefault="00F6347F" w:rsidP="00390908">
      <w:pPr>
        <w:pStyle w:val="Nagwek1"/>
        <w:numPr>
          <w:ilvl w:val="0"/>
          <w:numId w:val="0"/>
        </w:numPr>
        <w:jc w:val="center"/>
      </w:pPr>
      <w:r>
        <w:t>ACCEPTANCE OF INTERNAL REPORTS</w:t>
      </w:r>
    </w:p>
    <w:p w14:paraId="2C765BF7" w14:textId="54E950C5" w:rsidR="00F6347F" w:rsidRPr="00AD3ECC" w:rsidRDefault="00F6347F" w:rsidP="00657C75">
      <w:pPr>
        <w:pStyle w:val="Nagwek1"/>
        <w:numPr>
          <w:ilvl w:val="0"/>
          <w:numId w:val="29"/>
        </w:numPr>
        <w:ind w:left="426" w:hanging="426"/>
      </w:pPr>
      <w:r>
        <w:rPr>
          <w:b w:val="0"/>
        </w:rPr>
        <w:t>The unit responsible for performing administrative activities related to the acceptance of internal reports is the ZR Department. The activities of the ZR Department include the following:</w:t>
      </w:r>
    </w:p>
    <w:p w14:paraId="4E76D4D1" w14:textId="289702A0" w:rsidR="001E598D" w:rsidRPr="00AD3ECC" w:rsidRDefault="00F6347F" w:rsidP="0046243E">
      <w:pPr>
        <w:pStyle w:val="Bullet-"/>
        <w:numPr>
          <w:ilvl w:val="0"/>
          <w:numId w:val="13"/>
        </w:numPr>
        <w:ind w:left="1134" w:hanging="567"/>
      </w:pPr>
      <w:r>
        <w:t>accepting and registering reports;</w:t>
      </w:r>
    </w:p>
    <w:p w14:paraId="7A22C234" w14:textId="444C8067" w:rsidR="001E598D" w:rsidRPr="00AD3ECC" w:rsidRDefault="00F6347F" w:rsidP="0046243E">
      <w:pPr>
        <w:pStyle w:val="Bullet-"/>
        <w:numPr>
          <w:ilvl w:val="0"/>
          <w:numId w:val="13"/>
        </w:numPr>
        <w:ind w:left="1134" w:hanging="567"/>
      </w:pPr>
      <w:r>
        <w:t>maintaining a register of reports;</w:t>
      </w:r>
    </w:p>
    <w:p w14:paraId="403102D8" w14:textId="453C1333" w:rsidR="00751BAC" w:rsidRPr="00AD3ECC" w:rsidRDefault="00F6347F" w:rsidP="0046243E">
      <w:pPr>
        <w:pStyle w:val="Bullet-"/>
        <w:numPr>
          <w:ilvl w:val="0"/>
          <w:numId w:val="13"/>
        </w:numPr>
        <w:ind w:left="1134" w:hanging="567"/>
      </w:pPr>
      <w:r>
        <w:t>confirming to the person making the Report (Whistleblower) that the internal Report has been accepted within 7 days of its receipt, unless he/she has provided a contact address to which the confirmation should be sent, with the proviso that further contact with the person making the Report after the Report has been decreed for consideration will be made by the KGHM Group Entity authorised to conduct the follow-up action;</w:t>
      </w:r>
    </w:p>
    <w:p w14:paraId="777E29BE" w14:textId="413F8099" w:rsidR="00461D40" w:rsidRPr="00AD3ECC" w:rsidRDefault="00461D40" w:rsidP="0046243E">
      <w:pPr>
        <w:pStyle w:val="Bullet-"/>
        <w:numPr>
          <w:ilvl w:val="0"/>
          <w:numId w:val="13"/>
        </w:numPr>
        <w:ind w:left="1134" w:hanging="567"/>
      </w:pPr>
      <w:r>
        <w:t xml:space="preserve">issuing a certificate confirming the status of the Whistleblower at his/her request; </w:t>
      </w:r>
    </w:p>
    <w:p w14:paraId="7BB5FFC0" w14:textId="3C3544B9" w:rsidR="004F580F" w:rsidRPr="00AD3ECC" w:rsidRDefault="00F6347F" w:rsidP="0046243E">
      <w:pPr>
        <w:pStyle w:val="Bullet-"/>
        <w:numPr>
          <w:ilvl w:val="0"/>
          <w:numId w:val="13"/>
        </w:numPr>
        <w:ind w:left="1134" w:hanging="567"/>
      </w:pPr>
      <w:r>
        <w:t xml:space="preserve">monitoring compliance with the obligation to protect Whistleblowers against retaliatory action; </w:t>
      </w:r>
    </w:p>
    <w:p w14:paraId="481AF1BE" w14:textId="7D7E79B2" w:rsidR="00C74FF7" w:rsidRPr="00AD3ECC" w:rsidRDefault="00C74FF7" w:rsidP="0046243E">
      <w:pPr>
        <w:pStyle w:val="Bullet-"/>
        <w:numPr>
          <w:ilvl w:val="0"/>
          <w:numId w:val="13"/>
        </w:numPr>
        <w:ind w:left="1134" w:hanging="567"/>
      </w:pPr>
      <w:r>
        <w:t>regularly reporting to the Management Board of KGHM Polska Miedź S.A. statistical data on the number and types of reports made within the KGHM Group.</w:t>
      </w:r>
    </w:p>
    <w:p w14:paraId="1248168A" w14:textId="03FF1A31" w:rsidR="00F6347F" w:rsidRPr="00AD3ECC" w:rsidRDefault="00F6347F" w:rsidP="00657C75">
      <w:pPr>
        <w:pStyle w:val="Nagwek1"/>
        <w:numPr>
          <w:ilvl w:val="0"/>
          <w:numId w:val="18"/>
        </w:numPr>
        <w:ind w:left="426" w:hanging="426"/>
        <w:rPr>
          <w:bCs/>
        </w:rPr>
      </w:pPr>
      <w:r>
        <w:rPr>
          <w:b w:val="0"/>
        </w:rPr>
        <w:t>To perform a preliminary substantive assessment of the Report, a Verification Team shall be appointed within KGHM Polska Miedź S.A., consisting of the following permanent representatives:</w:t>
      </w:r>
    </w:p>
    <w:p w14:paraId="1E00524B" w14:textId="5511789B" w:rsidR="004F580F" w:rsidRPr="00AD3ECC" w:rsidRDefault="00312C2B" w:rsidP="0046243E">
      <w:pPr>
        <w:pStyle w:val="Bullet-"/>
        <w:numPr>
          <w:ilvl w:val="0"/>
          <w:numId w:val="14"/>
        </w:numPr>
        <w:ind w:left="1134" w:hanging="567"/>
      </w:pPr>
      <w:r>
        <w:t xml:space="preserve">Director of the LB Department or a person designated by him/her; </w:t>
      </w:r>
    </w:p>
    <w:p w14:paraId="1924C889" w14:textId="15D2C41E" w:rsidR="00456CD6" w:rsidRPr="00AD3ECC" w:rsidRDefault="00312C2B" w:rsidP="0046243E">
      <w:pPr>
        <w:pStyle w:val="Bullet-"/>
        <w:numPr>
          <w:ilvl w:val="0"/>
          <w:numId w:val="14"/>
        </w:numPr>
        <w:ind w:left="1134" w:hanging="567"/>
      </w:pPr>
      <w:r>
        <w:t>Director of the ZR Department or a person designated by him/her.</w:t>
      </w:r>
    </w:p>
    <w:p w14:paraId="6401116C" w14:textId="3EA51C6E" w:rsidR="00F6347F" w:rsidRPr="000C4530" w:rsidRDefault="00FA421F" w:rsidP="00657C75">
      <w:pPr>
        <w:pStyle w:val="Nagwek1"/>
        <w:numPr>
          <w:ilvl w:val="0"/>
          <w:numId w:val="29"/>
        </w:numPr>
        <w:ind w:left="426" w:hanging="426"/>
        <w:rPr>
          <w:b w:val="0"/>
          <w:bCs/>
        </w:rPr>
      </w:pPr>
      <w:r>
        <w:rPr>
          <w:b w:val="0"/>
        </w:rPr>
        <w:lastRenderedPageBreak/>
        <w:t>In justified cases, to assess the content of the Report, permanent members of the Verification Team may invite a representative of the Legal Department and/or a representative of the Human Resources Department to participate in the work of this Team.</w:t>
      </w:r>
    </w:p>
    <w:p w14:paraId="313521D3" w14:textId="11D6A223" w:rsidR="004F580F" w:rsidRPr="000C4530" w:rsidRDefault="00F6347F" w:rsidP="00657C75">
      <w:pPr>
        <w:pStyle w:val="Nagwek1"/>
        <w:numPr>
          <w:ilvl w:val="0"/>
          <w:numId w:val="29"/>
        </w:numPr>
        <w:ind w:left="426" w:hanging="426"/>
        <w:rPr>
          <w:b w:val="0"/>
          <w:bCs/>
        </w:rPr>
      </w:pPr>
      <w:r>
        <w:rPr>
          <w:b w:val="0"/>
        </w:rPr>
        <w:t xml:space="preserve">The Chairman of the Verification Team shall be the Director of the ZR Department, and the Deputy Chairman of the Verification Team shall be the Director of the LB Department. </w:t>
      </w:r>
    </w:p>
    <w:p w14:paraId="46C489FB" w14:textId="53F1824D" w:rsidR="00F6347F" w:rsidRPr="000C4530" w:rsidRDefault="00F6347F" w:rsidP="00657C75">
      <w:pPr>
        <w:pStyle w:val="Nagwek1"/>
        <w:numPr>
          <w:ilvl w:val="0"/>
          <w:numId w:val="29"/>
        </w:numPr>
        <w:ind w:left="426" w:hanging="426"/>
        <w:rPr>
          <w:b w:val="0"/>
          <w:bCs/>
        </w:rPr>
      </w:pPr>
      <w:r>
        <w:rPr>
          <w:b w:val="0"/>
        </w:rPr>
        <w:t>To verify a given report, the Chairperson may also appoint to the Verification Team other persons with competence and specialist knowledge in the subject matter of the Report.</w:t>
      </w:r>
    </w:p>
    <w:p w14:paraId="7CEE3BDF" w14:textId="210E7440" w:rsidR="00F6347F" w:rsidRPr="000C4530" w:rsidRDefault="00F6347F" w:rsidP="00657C75">
      <w:pPr>
        <w:pStyle w:val="Nagwek1"/>
        <w:numPr>
          <w:ilvl w:val="0"/>
          <w:numId w:val="29"/>
        </w:numPr>
        <w:ind w:left="426" w:hanging="426"/>
        <w:rPr>
          <w:b w:val="0"/>
          <w:bCs/>
        </w:rPr>
      </w:pPr>
      <w:r>
        <w:rPr>
          <w:b w:val="0"/>
        </w:rPr>
        <w:t xml:space="preserve">The tasks of the Verification Team include: </w:t>
      </w:r>
    </w:p>
    <w:p w14:paraId="11C4BD77" w14:textId="225CCE1E" w:rsidR="004F580F" w:rsidRPr="00AD3ECC" w:rsidRDefault="00F6347F" w:rsidP="0046243E">
      <w:pPr>
        <w:pStyle w:val="Bullet-"/>
        <w:numPr>
          <w:ilvl w:val="0"/>
          <w:numId w:val="32"/>
        </w:numPr>
        <w:ind w:left="1134" w:hanging="567"/>
      </w:pPr>
      <w:r>
        <w:t>conducting a preliminary verification of the Report's content in terms of its subject matter;</w:t>
      </w:r>
    </w:p>
    <w:p w14:paraId="705E1BF6" w14:textId="72A853D6" w:rsidR="00461D40" w:rsidRPr="00AD3ECC" w:rsidRDefault="008B59F8" w:rsidP="0046243E">
      <w:pPr>
        <w:pStyle w:val="Bullet-"/>
        <w:numPr>
          <w:ilvl w:val="0"/>
          <w:numId w:val="32"/>
        </w:numPr>
        <w:ind w:left="1134" w:hanging="567"/>
      </w:pPr>
      <w:r>
        <w:t>identifying the relevant departments or the appropriate KGHM Group Entity responsible for follow-up actions;</w:t>
      </w:r>
    </w:p>
    <w:p w14:paraId="3B00C2B6" w14:textId="74F30F2F" w:rsidR="000A2B28" w:rsidRPr="00AD3ECC" w:rsidRDefault="00461D40" w:rsidP="0046243E">
      <w:pPr>
        <w:pStyle w:val="Bullet-"/>
        <w:numPr>
          <w:ilvl w:val="0"/>
          <w:numId w:val="32"/>
        </w:numPr>
        <w:ind w:left="1134" w:hanging="567"/>
      </w:pPr>
      <w:r>
        <w:t>indicating the recommended follow-up actions, if possible and within the scope of its authorisation;</w:t>
      </w:r>
    </w:p>
    <w:p w14:paraId="5E8B60FF" w14:textId="19010163" w:rsidR="000A2B28" w:rsidRPr="0072447C" w:rsidRDefault="00F6347F" w:rsidP="0046243E">
      <w:pPr>
        <w:pStyle w:val="Bullet-"/>
        <w:numPr>
          <w:ilvl w:val="0"/>
          <w:numId w:val="32"/>
        </w:numPr>
        <w:ind w:left="1134" w:hanging="567"/>
      </w:pPr>
      <w:r>
        <w:t>rejecting the Report if it is clearly unfounded or does not meet the requirement specified in § 6(5);</w:t>
      </w:r>
    </w:p>
    <w:p w14:paraId="7F780ADB" w14:textId="7C21E757" w:rsidR="00F6347F" w:rsidRPr="00AD3ECC" w:rsidRDefault="00F6347F" w:rsidP="0046243E">
      <w:pPr>
        <w:pStyle w:val="Bullet-"/>
        <w:numPr>
          <w:ilvl w:val="0"/>
          <w:numId w:val="32"/>
        </w:numPr>
        <w:ind w:left="1134" w:hanging="567"/>
      </w:pPr>
      <w:r>
        <w:t>determining the manner and deadline for the transfer of information between the relevant KGHM Group Entities or indicating the need for joint examination of the Report, if its content covers several areas specified in paragraph 2 of the Procedure.</w:t>
      </w:r>
    </w:p>
    <w:p w14:paraId="70D04485" w14:textId="6F3585BF" w:rsidR="00F6347F" w:rsidRPr="00AD3ECC" w:rsidRDefault="00F6347F" w:rsidP="00657C75">
      <w:pPr>
        <w:pStyle w:val="Nagwek1"/>
        <w:ind w:left="426" w:hanging="426"/>
      </w:pPr>
      <w:r>
        <w:rPr>
          <w:b w:val="0"/>
        </w:rPr>
        <w:t>The Verification Team shall conduct a preliminary verification of the Report without delay to ensure that the information will be communicated to the Whistleblower in a timely manner and that the Report will be forwarded to the appropriate KGHM Group Entity authorised to take follow-up action.</w:t>
      </w:r>
      <w:r>
        <w:t xml:space="preserve"> </w:t>
      </w:r>
    </w:p>
    <w:p w14:paraId="49255A66" w14:textId="7878C5D8" w:rsidR="00F6347F" w:rsidRPr="00AD3ECC" w:rsidRDefault="00E75ED6" w:rsidP="00390908">
      <w:pPr>
        <w:pStyle w:val="Nagwek1"/>
        <w:numPr>
          <w:ilvl w:val="0"/>
          <w:numId w:val="0"/>
        </w:numPr>
        <w:jc w:val="center"/>
      </w:pPr>
      <w:r>
        <w:t>§ 6 METHODS OF SUBMITTING REPORTS</w:t>
      </w:r>
    </w:p>
    <w:p w14:paraId="475EDC34" w14:textId="52D804F5" w:rsidR="00F6347F" w:rsidRPr="0079650A" w:rsidRDefault="0079650A" w:rsidP="00657C75">
      <w:pPr>
        <w:pStyle w:val="Akapit1"/>
        <w:ind w:left="426" w:hanging="426"/>
      </w:pPr>
      <w:r>
        <w:t>Reports shall be submitted via:</w:t>
      </w:r>
    </w:p>
    <w:p w14:paraId="7E6D27E6" w14:textId="129D5E81" w:rsidR="00E75ED6" w:rsidRPr="00AD3ECC" w:rsidRDefault="00F6347F" w:rsidP="0046243E">
      <w:pPr>
        <w:pStyle w:val="Bulletabc"/>
        <w:numPr>
          <w:ilvl w:val="0"/>
          <w:numId w:val="9"/>
        </w:numPr>
        <w:ind w:left="1134" w:hanging="567"/>
      </w:pPr>
      <w:r>
        <w:t>the dedicated Ethics Hotline platform;</w:t>
      </w:r>
    </w:p>
    <w:p w14:paraId="7C71AD96" w14:textId="631FF426" w:rsidR="00E75ED6" w:rsidRPr="00AD3ECC" w:rsidRDefault="00F6347F" w:rsidP="0046243E">
      <w:pPr>
        <w:pStyle w:val="Bulletabc"/>
        <w:numPr>
          <w:ilvl w:val="0"/>
          <w:numId w:val="9"/>
        </w:numPr>
        <w:ind w:left="1134" w:hanging="567"/>
      </w:pPr>
      <w:r>
        <w:t xml:space="preserve">e-mail correspondence sent to the dedicated e-mail address: </w:t>
      </w:r>
      <w:hyperlink r:id="rId12" w:history="1">
        <w:r>
          <w:rPr>
            <w:rStyle w:val="Hipercze"/>
          </w:rPr>
          <w:t>liniaetyki@kghm.com;</w:t>
        </w:r>
      </w:hyperlink>
    </w:p>
    <w:p w14:paraId="4C449D73" w14:textId="074CD13D" w:rsidR="00E75ED6" w:rsidRPr="00AD3ECC" w:rsidRDefault="00F6347F" w:rsidP="0046243E">
      <w:pPr>
        <w:pStyle w:val="Bulletabc"/>
        <w:numPr>
          <w:ilvl w:val="0"/>
          <w:numId w:val="9"/>
        </w:numPr>
        <w:ind w:left="1134" w:hanging="567"/>
      </w:pPr>
      <w:r>
        <w:t xml:space="preserve"> a dedicated hotline at +48 76 747 8282 (direct contact with a worker from the ZR Department);</w:t>
      </w:r>
    </w:p>
    <w:p w14:paraId="3E96BD95" w14:textId="01092E36" w:rsidR="00E75ED6" w:rsidRPr="00AD3ECC" w:rsidRDefault="00273D9F" w:rsidP="0046243E">
      <w:pPr>
        <w:pStyle w:val="Bulletabc"/>
        <w:numPr>
          <w:ilvl w:val="0"/>
          <w:numId w:val="9"/>
        </w:numPr>
        <w:ind w:left="1134" w:hanging="567"/>
      </w:pPr>
      <w:r>
        <w:t>a recording telephone line at +48 76 74 80 777 (contact via a recording telephone line without the involvement of a worker from the ZR Department);</w:t>
      </w:r>
    </w:p>
    <w:p w14:paraId="782DC2A2" w14:textId="6ECBFFD5" w:rsidR="00273D9F" w:rsidRPr="00AD3ECC" w:rsidRDefault="00F6347F" w:rsidP="0046243E">
      <w:pPr>
        <w:pStyle w:val="Bulletabc"/>
        <w:numPr>
          <w:ilvl w:val="0"/>
          <w:numId w:val="9"/>
        </w:numPr>
        <w:ind w:left="1134" w:hanging="567"/>
      </w:pPr>
      <w:r>
        <w:t>written correspondence sent to the following address:</w:t>
      </w:r>
    </w:p>
    <w:p w14:paraId="63BB36B0" w14:textId="77777777" w:rsidR="00273D9F" w:rsidRPr="00AD3ECC" w:rsidRDefault="00273D9F" w:rsidP="00390908">
      <w:pPr>
        <w:ind w:left="1134"/>
        <w:rPr>
          <w:i/>
          <w:iCs/>
        </w:rPr>
      </w:pPr>
      <w:r>
        <w:rPr>
          <w:i/>
        </w:rPr>
        <w:t>Corporate Risk and Compliance Management Department</w:t>
      </w:r>
    </w:p>
    <w:p w14:paraId="202DEE2F" w14:textId="24A225B9" w:rsidR="00273D9F" w:rsidRPr="00AD3ECC" w:rsidRDefault="00273D9F" w:rsidP="00390908">
      <w:pPr>
        <w:ind w:left="1134"/>
        <w:rPr>
          <w:i/>
          <w:iCs/>
        </w:rPr>
      </w:pPr>
      <w:r>
        <w:rPr>
          <w:i/>
        </w:rPr>
        <w:t>KGHM Polska Miedź S.A.</w:t>
      </w:r>
    </w:p>
    <w:p w14:paraId="1D17384D" w14:textId="77777777" w:rsidR="00273D9F" w:rsidRPr="00AD3ECC" w:rsidRDefault="00273D9F" w:rsidP="00390908">
      <w:pPr>
        <w:ind w:left="1134"/>
        <w:rPr>
          <w:i/>
          <w:iCs/>
        </w:rPr>
      </w:pPr>
      <w:r>
        <w:rPr>
          <w:i/>
        </w:rPr>
        <w:t xml:space="preserve">ul. M. </w:t>
      </w:r>
      <w:proofErr w:type="spellStart"/>
      <w:r>
        <w:rPr>
          <w:i/>
        </w:rPr>
        <w:t>Skłodowskiej</w:t>
      </w:r>
      <w:proofErr w:type="spellEnd"/>
      <w:r>
        <w:rPr>
          <w:i/>
        </w:rPr>
        <w:t>-Curie 48</w:t>
      </w:r>
    </w:p>
    <w:p w14:paraId="1ED7906E" w14:textId="77777777" w:rsidR="00273D9F" w:rsidRPr="00AD3ECC" w:rsidRDefault="00273D9F" w:rsidP="00390908">
      <w:pPr>
        <w:ind w:left="1134"/>
        <w:rPr>
          <w:i/>
          <w:iCs/>
        </w:rPr>
      </w:pPr>
      <w:r>
        <w:rPr>
          <w:i/>
        </w:rPr>
        <w:t>59-301 Lubin</w:t>
      </w:r>
    </w:p>
    <w:p w14:paraId="7F051DCF" w14:textId="23227ED9" w:rsidR="00E75ED6" w:rsidRPr="00AD3ECC" w:rsidRDefault="00F6347F" w:rsidP="00390908">
      <w:pPr>
        <w:ind w:left="1134"/>
      </w:pPr>
      <w:r>
        <w:lastRenderedPageBreak/>
        <w:t>To ensure full confidentiality of the Report, the envelope should be marked ‘</w:t>
      </w:r>
      <w:r>
        <w:rPr>
          <w:b/>
        </w:rPr>
        <w:t>Internal Report – for the attention of ZR</w:t>
      </w:r>
      <w:r>
        <w:t>’;</w:t>
      </w:r>
    </w:p>
    <w:p w14:paraId="68F0EC95" w14:textId="3FBA0BD2" w:rsidR="00E75ED6" w:rsidRPr="00AD3ECC" w:rsidRDefault="00F6347F" w:rsidP="0046243E">
      <w:pPr>
        <w:pStyle w:val="Akapitzlist"/>
        <w:numPr>
          <w:ilvl w:val="0"/>
          <w:numId w:val="9"/>
        </w:numPr>
        <w:ind w:left="1134" w:hanging="567"/>
      </w:pPr>
      <w:r>
        <w:t>verbal Report made during a face-to-face meeting at the ZR Department. A request for such a meeting should be submitted via the above-mentioned e-mail address or telephone numbers. The meeting shall take place on a date agreed with the person making the Report, no later than 14 days from the date of receipt of the request in this respect;</w:t>
      </w:r>
    </w:p>
    <w:p w14:paraId="1EA00978" w14:textId="77777777" w:rsidR="00E75ED6" w:rsidRPr="00AD3ECC" w:rsidRDefault="00E75ED6" w:rsidP="00390908">
      <w:pPr>
        <w:pStyle w:val="Akapitzlist"/>
        <w:ind w:left="1134" w:hanging="567"/>
      </w:pPr>
    </w:p>
    <w:p w14:paraId="4ED6DAE1" w14:textId="17B290E5" w:rsidR="00F6347F" w:rsidRPr="00AD3ECC" w:rsidRDefault="008E2482" w:rsidP="0046243E">
      <w:pPr>
        <w:pStyle w:val="Akapitzlist"/>
        <w:numPr>
          <w:ilvl w:val="0"/>
          <w:numId w:val="9"/>
        </w:numPr>
        <w:ind w:left="1134" w:hanging="567"/>
      </w:pPr>
      <w:bookmarkStart w:id="6" w:name="_Hlk177723206"/>
      <w:r>
        <w:t>when the Report concerns a Member of the Management Board of KGHM Polska Miedź S.A. or persons designated as responsible for receiving Reports as well as members of the Verification Team, the Report should be forwarded immediately to the Supervisory Board of KGHM Polska Miedź S.A. for further action.</w:t>
      </w:r>
    </w:p>
    <w:bookmarkEnd w:id="6"/>
    <w:p w14:paraId="14FF1A8C" w14:textId="60E97E8A" w:rsidR="00C74FF7" w:rsidRPr="00AD3ECC" w:rsidRDefault="00C74FF7" w:rsidP="00657C75">
      <w:pPr>
        <w:pStyle w:val="Akapit1"/>
        <w:ind w:left="426" w:hanging="426"/>
      </w:pPr>
      <w:r>
        <w:t>Every Employee, if he/she will receive a Report concerning the content of this Procedure within the scope of his/her official duties, is obliged to immediately forward such a Report to the ZR Department for further processing.</w:t>
      </w:r>
    </w:p>
    <w:p w14:paraId="2397C3E1" w14:textId="7E805DFF" w:rsidR="00F6347F" w:rsidRPr="00AD3ECC" w:rsidRDefault="00F6347F" w:rsidP="00657C75">
      <w:pPr>
        <w:pStyle w:val="Akapit1"/>
        <w:ind w:left="426" w:hanging="426"/>
      </w:pPr>
      <w:r>
        <w:t xml:space="preserve">The recommended template for the Report (including the scope of information required to be provided at the time of filing the Report) is set out in </w:t>
      </w:r>
      <w:r>
        <w:rPr>
          <w:b/>
          <w:bCs/>
        </w:rPr>
        <w:t>Appendix 2</w:t>
      </w:r>
      <w:r>
        <w:t xml:space="preserve"> to this Procedure.</w:t>
      </w:r>
    </w:p>
    <w:p w14:paraId="0DB5F8A8" w14:textId="3CF4BA76" w:rsidR="00F16AB8" w:rsidRPr="00AD3ECC" w:rsidRDefault="00F16AB8" w:rsidP="00657C75">
      <w:pPr>
        <w:pStyle w:val="Akapit1"/>
        <w:ind w:left="426" w:hanging="426"/>
      </w:pPr>
      <w:r>
        <w:t>The Report may also be filed anonymously.</w:t>
      </w:r>
    </w:p>
    <w:p w14:paraId="3B3E4541" w14:textId="4E66400A" w:rsidR="002B1431" w:rsidRPr="00AD3ECC" w:rsidRDefault="00B4099A" w:rsidP="00657C75">
      <w:pPr>
        <w:pStyle w:val="Akapit1"/>
        <w:ind w:left="426" w:hanging="426"/>
      </w:pPr>
      <w:bookmarkStart w:id="7" w:name="_Hlk178783687"/>
      <w:r>
        <w:t>The Report shall not be anonymous if it concerns the following areas: Reports in the area of ethics concerning suspected violations of labour law, in particular mobbing and discrimination, or Reports in the area of privacy and personal data protection as well as network and ICT system security.</w:t>
      </w:r>
    </w:p>
    <w:bookmarkEnd w:id="7"/>
    <w:p w14:paraId="2CD20FAB" w14:textId="77777777" w:rsidR="000C4530" w:rsidRDefault="00E75ED6" w:rsidP="00390908">
      <w:pPr>
        <w:pStyle w:val="Akapit1"/>
        <w:numPr>
          <w:ilvl w:val="0"/>
          <w:numId w:val="0"/>
        </w:numPr>
        <w:jc w:val="center"/>
        <w:rPr>
          <w:b/>
        </w:rPr>
      </w:pPr>
      <w:r>
        <w:rPr>
          <w:b/>
        </w:rPr>
        <w:t xml:space="preserve">§ 7 </w:t>
      </w:r>
    </w:p>
    <w:p w14:paraId="0C1A4630" w14:textId="5BE64AD7" w:rsidR="00E75ED6" w:rsidRPr="00AD3ECC" w:rsidRDefault="00F6347F" w:rsidP="00390908">
      <w:pPr>
        <w:pStyle w:val="Akapit1"/>
        <w:numPr>
          <w:ilvl w:val="0"/>
          <w:numId w:val="0"/>
        </w:numPr>
        <w:jc w:val="center"/>
        <w:rPr>
          <w:bCs/>
        </w:rPr>
      </w:pPr>
      <w:r>
        <w:rPr>
          <w:b/>
        </w:rPr>
        <w:t>FOLLOW-UP ACTIONS</w:t>
      </w:r>
    </w:p>
    <w:p w14:paraId="491CEE4D" w14:textId="757EC0EE" w:rsidR="00F6347F" w:rsidRPr="00AD3ECC" w:rsidRDefault="00E75ED6" w:rsidP="00657C75">
      <w:pPr>
        <w:pStyle w:val="Akapit1"/>
        <w:numPr>
          <w:ilvl w:val="0"/>
          <w:numId w:val="19"/>
        </w:numPr>
        <w:ind w:left="426" w:hanging="426"/>
      </w:pPr>
      <w:r>
        <w:t xml:space="preserve">Follow-up actions include the following:  </w:t>
      </w:r>
    </w:p>
    <w:p w14:paraId="5404A2A4" w14:textId="5D1EDD0A" w:rsidR="00F6347F" w:rsidRPr="00AD3ECC" w:rsidRDefault="00F6347F" w:rsidP="0046243E">
      <w:pPr>
        <w:pStyle w:val="Bullet-"/>
        <w:numPr>
          <w:ilvl w:val="0"/>
          <w:numId w:val="15"/>
        </w:numPr>
        <w:ind w:left="1134" w:hanging="567"/>
      </w:pPr>
      <w:r>
        <w:t>taking all actions by an authorised KGHM Group Entity, based on internally applicable normative acts defining its competence, aimed at establishing the facts and assessing the validity of the Report based on the collection of comprehensive evidence;</w:t>
      </w:r>
    </w:p>
    <w:p w14:paraId="4B00F9FD" w14:textId="57AF1C7E" w:rsidR="00F6347F" w:rsidRPr="00AD3ECC" w:rsidRDefault="00F6347F" w:rsidP="0046243E">
      <w:pPr>
        <w:pStyle w:val="Bullet-"/>
        <w:numPr>
          <w:ilvl w:val="0"/>
          <w:numId w:val="15"/>
        </w:numPr>
        <w:ind w:left="1134" w:hanging="567"/>
      </w:pPr>
      <w:r>
        <w:t>further contact with the Whistleblower to obtain additional information, if necessary, based on an analysis of the content of the Report or the evidence gathered, as well as providing feedback to the Whistleblower as required by law;</w:t>
      </w:r>
    </w:p>
    <w:p w14:paraId="6D234C56" w14:textId="27266281" w:rsidR="00F6347F" w:rsidRPr="00AD3ECC" w:rsidRDefault="00F6347F" w:rsidP="0046243E">
      <w:pPr>
        <w:pStyle w:val="Bullet-"/>
        <w:numPr>
          <w:ilvl w:val="0"/>
          <w:numId w:val="15"/>
        </w:numPr>
        <w:ind w:left="1134" w:hanging="567"/>
      </w:pPr>
      <w:r>
        <w:t>keeping complete records of the proceedings, in particular taking into account the principles of confidentiality and impartiality;</w:t>
      </w:r>
    </w:p>
    <w:p w14:paraId="7363C93A" w14:textId="17BC1244" w:rsidR="00F6347F" w:rsidRPr="00AD3ECC" w:rsidRDefault="00461D40" w:rsidP="0046243E">
      <w:pPr>
        <w:pStyle w:val="Bullet-"/>
        <w:numPr>
          <w:ilvl w:val="0"/>
          <w:numId w:val="15"/>
        </w:numPr>
        <w:ind w:left="1134" w:hanging="567"/>
      </w:pPr>
      <w:r>
        <w:t>preparing final recommendations regarding the Report in relation to the process where the irregularity has been identified.</w:t>
      </w:r>
    </w:p>
    <w:p w14:paraId="6EF45F4C" w14:textId="4B389B46" w:rsidR="00F6347F" w:rsidRPr="00AD3ECC" w:rsidRDefault="00C74FF7" w:rsidP="00657C75">
      <w:pPr>
        <w:pStyle w:val="Akapit2"/>
        <w:numPr>
          <w:ilvl w:val="0"/>
          <w:numId w:val="19"/>
        </w:numPr>
        <w:ind w:left="426" w:hanging="426"/>
      </w:pPr>
      <w:r>
        <w:t>The following entities are empowered to act as KGHM Group Entities authorised to perform follow-up actions, which results from the scope of duties and responsibilities arising from internal regulations, as well as the powers granted to them:</w:t>
      </w:r>
    </w:p>
    <w:p w14:paraId="268C1AC4" w14:textId="3A61BDE1" w:rsidR="00F6347F" w:rsidRPr="00AD3ECC" w:rsidRDefault="00503300" w:rsidP="0046243E">
      <w:pPr>
        <w:pStyle w:val="Bullet-"/>
        <w:numPr>
          <w:ilvl w:val="0"/>
          <w:numId w:val="20"/>
        </w:numPr>
        <w:ind w:left="1134" w:hanging="567"/>
      </w:pPr>
      <w:r>
        <w:t>in terms of the subject matter of the irregularities indicated in § 2(1)(1) of the Procedure, the LB Department/the unit responsible for security issues as well as anti-fraud and anti-corruption matters;</w:t>
      </w:r>
    </w:p>
    <w:p w14:paraId="160762C1" w14:textId="41F628EF" w:rsidR="00C74FF7" w:rsidRPr="00AD3ECC" w:rsidRDefault="00F6347F" w:rsidP="0046243E">
      <w:pPr>
        <w:pStyle w:val="Bullet-"/>
        <w:numPr>
          <w:ilvl w:val="0"/>
          <w:numId w:val="20"/>
        </w:numPr>
        <w:ind w:left="1134" w:hanging="567"/>
      </w:pPr>
      <w:r>
        <w:lastRenderedPageBreak/>
        <w:t xml:space="preserve"> </w:t>
      </w:r>
      <w:bookmarkStart w:id="8" w:name="_Hlk174354615"/>
      <w:r>
        <w:t xml:space="preserve">in terms of the subject matter of the irregularities indicated in § 2(1)(2) of the Procedure </w:t>
      </w:r>
      <w:bookmarkEnd w:id="8"/>
      <w:r>
        <w:t>LB Department/the unit responsible for security issues as well as anti-fraud and anti-corruption matters;</w:t>
      </w:r>
    </w:p>
    <w:p w14:paraId="383A8616" w14:textId="59BE3D82" w:rsidR="00F6347F" w:rsidRPr="00AD3ECC" w:rsidRDefault="00503300" w:rsidP="0046243E">
      <w:pPr>
        <w:pStyle w:val="Bullet-"/>
        <w:numPr>
          <w:ilvl w:val="0"/>
          <w:numId w:val="20"/>
        </w:numPr>
        <w:ind w:left="1134" w:hanging="567"/>
      </w:pPr>
      <w:r>
        <w:t>in terms of the subject matter of the irregularities indicated in § 2(1)(3), the Ethics Committee in the Entity.</w:t>
      </w:r>
    </w:p>
    <w:p w14:paraId="4C032E1F" w14:textId="6E81A8BC" w:rsidR="00F6347F" w:rsidRPr="00AD3ECC" w:rsidRDefault="00F6347F" w:rsidP="00657C75">
      <w:pPr>
        <w:pStyle w:val="Akapit2"/>
        <w:numPr>
          <w:ilvl w:val="0"/>
          <w:numId w:val="19"/>
        </w:numPr>
        <w:ind w:left="426" w:hanging="426"/>
      </w:pPr>
      <w:r>
        <w:t>Each Employee is obliged to actively participate and cooperate in activities aimed at establishing the facts of the Report.</w:t>
      </w:r>
    </w:p>
    <w:p w14:paraId="5B9ACE0F" w14:textId="77777777" w:rsidR="000C4530" w:rsidRDefault="00E75ED6" w:rsidP="00390908">
      <w:pPr>
        <w:pStyle w:val="Akapit1"/>
        <w:numPr>
          <w:ilvl w:val="0"/>
          <w:numId w:val="0"/>
        </w:numPr>
        <w:jc w:val="center"/>
        <w:rPr>
          <w:b/>
          <w:bCs/>
        </w:rPr>
      </w:pPr>
      <w:r>
        <w:rPr>
          <w:b/>
        </w:rPr>
        <w:t xml:space="preserve">§ 8 </w:t>
      </w:r>
    </w:p>
    <w:p w14:paraId="310D2AE9" w14:textId="43B39653" w:rsidR="00F6347F" w:rsidRPr="00AD3ECC" w:rsidRDefault="00F6347F" w:rsidP="00390908">
      <w:pPr>
        <w:pStyle w:val="Akapit1"/>
        <w:numPr>
          <w:ilvl w:val="0"/>
          <w:numId w:val="0"/>
        </w:numPr>
        <w:jc w:val="center"/>
        <w:rPr>
          <w:b/>
          <w:bCs/>
        </w:rPr>
      </w:pPr>
      <w:r>
        <w:rPr>
          <w:b/>
        </w:rPr>
        <w:t>STATUS, RIGHTS AND OBLIGATIONS OF THE WHISTLEBLOWER</w:t>
      </w:r>
    </w:p>
    <w:p w14:paraId="05ED15B2" w14:textId="30545285" w:rsidR="00E75ED6" w:rsidRPr="00AD3ECC" w:rsidRDefault="002468A9" w:rsidP="00657C75">
      <w:pPr>
        <w:pStyle w:val="Akapit2"/>
        <w:numPr>
          <w:ilvl w:val="2"/>
          <w:numId w:val="19"/>
        </w:numPr>
        <w:ind w:left="426" w:hanging="426"/>
      </w:pPr>
      <w:r>
        <w:t xml:space="preserve">The person making the Report acquires the rights specified in this chapter from the date of making it. The fact of making an anonymous Report does not preclude the granting of Whistleblower status if, in the course of follow-up actions, the personal source of the Report is unequivocally confirmed. The ZR Department is responsible for confirming Whistleblower status.  </w:t>
      </w:r>
    </w:p>
    <w:p w14:paraId="24652F29" w14:textId="72EF54D7" w:rsidR="00F6347F" w:rsidRPr="00AD3ECC" w:rsidRDefault="00F6347F" w:rsidP="00657C75">
      <w:pPr>
        <w:pStyle w:val="Akapit2"/>
        <w:numPr>
          <w:ilvl w:val="2"/>
          <w:numId w:val="19"/>
        </w:numPr>
        <w:ind w:left="426" w:hanging="426"/>
      </w:pPr>
      <w:r>
        <w:t xml:space="preserve">The rights and obligations of the Whistleblower include:  </w:t>
      </w:r>
    </w:p>
    <w:p w14:paraId="1DF35E36" w14:textId="51EAA0C6" w:rsidR="00F84020" w:rsidRPr="00AD3ECC" w:rsidRDefault="00F6347F" w:rsidP="0046243E">
      <w:pPr>
        <w:pStyle w:val="Bullet-"/>
        <w:numPr>
          <w:ilvl w:val="0"/>
          <w:numId w:val="21"/>
        </w:numPr>
        <w:ind w:left="1134" w:hanging="567"/>
      </w:pPr>
      <w:r>
        <w:t xml:space="preserve">the right to information regarding the status of the Report, including compliance with confidentiality and personal data regulations, and to receive feedback within three months from the date of confirmation of the Report's acceptance regarding planned or undertaken follow-up actions and the reasons for such actions;  </w:t>
      </w:r>
    </w:p>
    <w:p w14:paraId="715CB732" w14:textId="28E6CEA9" w:rsidR="00F84020" w:rsidRPr="00AD3ECC" w:rsidRDefault="00A13CF7" w:rsidP="0046243E">
      <w:pPr>
        <w:pStyle w:val="Bullet-"/>
        <w:numPr>
          <w:ilvl w:val="0"/>
          <w:numId w:val="21"/>
        </w:numPr>
        <w:ind w:left="1134" w:hanging="567"/>
      </w:pPr>
      <w:r>
        <w:t>the possibility of obtaining a certificate of Whistleblower status upon request;</w:t>
      </w:r>
    </w:p>
    <w:p w14:paraId="613F005A" w14:textId="46AB9844" w:rsidR="00F84020" w:rsidRPr="00AD3ECC" w:rsidRDefault="00A13CF7" w:rsidP="0046243E">
      <w:pPr>
        <w:pStyle w:val="Bullet-"/>
        <w:numPr>
          <w:ilvl w:val="0"/>
          <w:numId w:val="21"/>
        </w:numPr>
        <w:ind w:left="1134" w:hanging="567"/>
      </w:pPr>
      <w:r>
        <w:t>protection against retaliatory action, whereby the Whistleblower should inform the HR Department of any such action taken against him/her;</w:t>
      </w:r>
    </w:p>
    <w:p w14:paraId="3C209A57" w14:textId="77777777" w:rsidR="00F84020" w:rsidRPr="00AD3ECC" w:rsidRDefault="00F6347F" w:rsidP="0046243E">
      <w:pPr>
        <w:pStyle w:val="Bullet-"/>
        <w:numPr>
          <w:ilvl w:val="0"/>
          <w:numId w:val="21"/>
        </w:numPr>
        <w:ind w:left="1134" w:hanging="567"/>
      </w:pPr>
      <w:r>
        <w:t>full confidentiality of the Whistleblower's data;</w:t>
      </w:r>
    </w:p>
    <w:p w14:paraId="502F805C" w14:textId="77777777" w:rsidR="00F84020" w:rsidRPr="00AD3ECC" w:rsidRDefault="00F6347F" w:rsidP="0046243E">
      <w:pPr>
        <w:pStyle w:val="Bullet-"/>
        <w:numPr>
          <w:ilvl w:val="0"/>
          <w:numId w:val="21"/>
        </w:numPr>
        <w:ind w:left="1134" w:hanging="567"/>
      </w:pPr>
      <w:r>
        <w:t xml:space="preserve">unless expressly excluded by the provisions of the Procedure, the possibility of making a Report anonymously; </w:t>
      </w:r>
    </w:p>
    <w:p w14:paraId="6D102BA4" w14:textId="02FD46BB" w:rsidR="00F84020" w:rsidRPr="00AD3ECC" w:rsidRDefault="00C74FF7" w:rsidP="0046243E">
      <w:pPr>
        <w:pStyle w:val="Bullet-"/>
        <w:numPr>
          <w:ilvl w:val="0"/>
          <w:numId w:val="21"/>
        </w:numPr>
        <w:ind w:left="1134" w:hanging="567"/>
      </w:pPr>
      <w:r>
        <w:rPr>
          <w:shd w:val="clear" w:color="auto" w:fill="FFFFFF"/>
        </w:rPr>
        <w:t>the provision of information relating to true events which, at the time of reporting, constitute information about a violation of the law;</w:t>
      </w:r>
    </w:p>
    <w:p w14:paraId="1A0F70E4" w14:textId="5A8E485A" w:rsidR="00F84020" w:rsidRPr="00AD3ECC" w:rsidRDefault="00F6347F" w:rsidP="0046243E">
      <w:pPr>
        <w:pStyle w:val="Bullet-"/>
        <w:numPr>
          <w:ilvl w:val="0"/>
          <w:numId w:val="21"/>
        </w:numPr>
        <w:ind w:left="1134" w:hanging="567"/>
      </w:pPr>
      <w:r>
        <w:t xml:space="preserve">immediately providing, in the course of follow-up actions, any information relevant to the subject matter of the Report; </w:t>
      </w:r>
    </w:p>
    <w:p w14:paraId="19ABAA72" w14:textId="24F9FBAB" w:rsidR="00C74FF7" w:rsidRPr="00AD3ECC" w:rsidRDefault="00F84020" w:rsidP="0046243E">
      <w:pPr>
        <w:pStyle w:val="Bullet-"/>
        <w:numPr>
          <w:ilvl w:val="0"/>
          <w:numId w:val="21"/>
        </w:numPr>
        <w:ind w:left="1134" w:hanging="567"/>
      </w:pPr>
      <w:r>
        <w:t>cooperating with KGHM Group Entities authorised to take follow-up actions.</w:t>
      </w:r>
    </w:p>
    <w:p w14:paraId="65695597" w14:textId="5EE95E2D" w:rsidR="00C74FF7" w:rsidRPr="00AD3ECC" w:rsidRDefault="00751BAC" w:rsidP="00657C75">
      <w:pPr>
        <w:pStyle w:val="Akapit2"/>
        <w:numPr>
          <w:ilvl w:val="2"/>
          <w:numId w:val="19"/>
        </w:numPr>
        <w:ind w:left="426" w:hanging="426"/>
      </w:pPr>
      <w:r>
        <w:t xml:space="preserve">If the person making the Report does not act in good faith, he/she shall be subject to </w:t>
      </w:r>
      <w:r>
        <w:rPr>
          <w:shd w:val="clear" w:color="auto" w:fill="FFFFFF"/>
        </w:rPr>
        <w:t>disciplinary liability or liability for damage for violating the rights of others or obligations specified in the provisions of law, in particular with respect to defamation and violation of personal rights.</w:t>
      </w:r>
    </w:p>
    <w:p w14:paraId="59F01F9C" w14:textId="77777777" w:rsidR="00DC1572" w:rsidRDefault="00E75ED6" w:rsidP="00390908">
      <w:pPr>
        <w:pStyle w:val="Akapit1"/>
        <w:numPr>
          <w:ilvl w:val="0"/>
          <w:numId w:val="0"/>
        </w:numPr>
        <w:jc w:val="center"/>
        <w:rPr>
          <w:b/>
          <w:bCs/>
        </w:rPr>
      </w:pPr>
      <w:r>
        <w:rPr>
          <w:b/>
        </w:rPr>
        <w:t xml:space="preserve">Article 9 </w:t>
      </w:r>
    </w:p>
    <w:p w14:paraId="360B4D4D" w14:textId="694D6A33" w:rsidR="00F84020" w:rsidRPr="00AD3ECC" w:rsidRDefault="00C74FF7" w:rsidP="00390908">
      <w:pPr>
        <w:pStyle w:val="Akapit1"/>
        <w:numPr>
          <w:ilvl w:val="0"/>
          <w:numId w:val="0"/>
        </w:numPr>
        <w:jc w:val="center"/>
        <w:rPr>
          <w:b/>
          <w:bCs/>
        </w:rPr>
      </w:pPr>
      <w:r>
        <w:rPr>
          <w:b/>
        </w:rPr>
        <w:t>PROHIBITION OF RETALIATORY ACTION</w:t>
      </w:r>
    </w:p>
    <w:p w14:paraId="0B7D0EA0" w14:textId="05B79D54" w:rsidR="00C74FF7" w:rsidRPr="00AD3ECC" w:rsidRDefault="00030139" w:rsidP="002273EE">
      <w:pPr>
        <w:rPr>
          <w:b/>
        </w:rPr>
      </w:pPr>
      <w:r>
        <w:t>There is a strict prohibition on retaliatory action, including attempts or threats of such action, against a person making a Report (both internal and external), as well as public disclosure. Any repressive, discriminatory or other unfair treatment will be considered a violation of the Procedure and may result in administrative or disciplinary liability. Any retaliatory actions should be reported to the HR Department.</w:t>
      </w:r>
    </w:p>
    <w:p w14:paraId="605EB915" w14:textId="77777777" w:rsidR="00DC1572" w:rsidRDefault="00E75ED6" w:rsidP="00390908">
      <w:pPr>
        <w:pStyle w:val="Akapit1"/>
        <w:numPr>
          <w:ilvl w:val="0"/>
          <w:numId w:val="0"/>
        </w:numPr>
        <w:jc w:val="center"/>
        <w:rPr>
          <w:b/>
          <w:bCs/>
        </w:rPr>
      </w:pPr>
      <w:r>
        <w:rPr>
          <w:b/>
        </w:rPr>
        <w:lastRenderedPageBreak/>
        <w:t xml:space="preserve">§ 10 </w:t>
      </w:r>
    </w:p>
    <w:p w14:paraId="1B8C8B45" w14:textId="6BF991E4" w:rsidR="00F6347F" w:rsidRPr="00AD3ECC" w:rsidRDefault="00F6347F" w:rsidP="00390908">
      <w:pPr>
        <w:pStyle w:val="Akapit1"/>
        <w:numPr>
          <w:ilvl w:val="0"/>
          <w:numId w:val="0"/>
        </w:numPr>
        <w:jc w:val="center"/>
        <w:rPr>
          <w:b/>
          <w:bCs/>
        </w:rPr>
      </w:pPr>
      <w:r>
        <w:rPr>
          <w:b/>
        </w:rPr>
        <w:t>PERSONAL DATA PROCESSING WHEN HANDLING INTERNAL REPORTS</w:t>
      </w:r>
    </w:p>
    <w:p w14:paraId="4807CC5C" w14:textId="5658D31A" w:rsidR="004F580F" w:rsidRPr="00AD3ECC" w:rsidRDefault="00F6347F" w:rsidP="00657C75">
      <w:pPr>
        <w:pStyle w:val="Akapit2"/>
        <w:numPr>
          <w:ilvl w:val="0"/>
          <w:numId w:val="22"/>
        </w:numPr>
        <w:ind w:left="426" w:hanging="426"/>
      </w:pPr>
      <w:r>
        <w:t xml:space="preserve">Personal data collected in connection with the submission of an internal report and the implementation of follow-up actions shall be processed in accordance with the applicable personal data regulations. </w:t>
      </w:r>
    </w:p>
    <w:p w14:paraId="79C7A75C" w14:textId="0C9C5D32" w:rsidR="00F6347F" w:rsidRPr="00AD3ECC" w:rsidRDefault="00F6347F" w:rsidP="00657C75">
      <w:pPr>
        <w:pStyle w:val="Akapit2"/>
        <w:numPr>
          <w:ilvl w:val="0"/>
          <w:numId w:val="22"/>
        </w:numPr>
        <w:ind w:left="426" w:hanging="426"/>
      </w:pPr>
      <w:r>
        <w:t xml:space="preserve">The templates of the information clauses used are based on the Privacy Policies adopted and in force at a given entity. </w:t>
      </w:r>
    </w:p>
    <w:p w14:paraId="7B6C77B1" w14:textId="4F2C7927" w:rsidR="00F6347F" w:rsidRPr="00AD3ECC" w:rsidRDefault="00F6347F" w:rsidP="00657C75">
      <w:pPr>
        <w:pStyle w:val="Akapit2"/>
        <w:numPr>
          <w:ilvl w:val="0"/>
          <w:numId w:val="22"/>
        </w:numPr>
        <w:ind w:left="426" w:hanging="426"/>
      </w:pPr>
      <w:r>
        <w:t xml:space="preserve">The personal data of the person making the Report, which allows for the establishment of his/her identity, shall not be disclosed to unauthorised persons without his/her express consent. </w:t>
      </w:r>
    </w:p>
    <w:p w14:paraId="742EFE0D" w14:textId="77777777" w:rsidR="00DC1572" w:rsidRDefault="00E75ED6" w:rsidP="00390908">
      <w:pPr>
        <w:pStyle w:val="Nagwek1"/>
        <w:numPr>
          <w:ilvl w:val="0"/>
          <w:numId w:val="0"/>
        </w:numPr>
        <w:jc w:val="center"/>
      </w:pPr>
      <w:r>
        <w:t xml:space="preserve">11. </w:t>
      </w:r>
    </w:p>
    <w:p w14:paraId="38B20A2A" w14:textId="2CEF5224" w:rsidR="00F6347F" w:rsidRPr="00AD3ECC" w:rsidRDefault="00F6347F" w:rsidP="00390908">
      <w:pPr>
        <w:pStyle w:val="Nagwek1"/>
        <w:numPr>
          <w:ilvl w:val="0"/>
          <w:numId w:val="0"/>
        </w:numPr>
        <w:jc w:val="center"/>
      </w:pPr>
      <w:r>
        <w:t>REGISTER OF REPORTS</w:t>
      </w:r>
    </w:p>
    <w:p w14:paraId="486232BC" w14:textId="3D7CAF97" w:rsidR="00F6347F" w:rsidRPr="00AD3ECC" w:rsidRDefault="00F6347F" w:rsidP="00657C75">
      <w:pPr>
        <w:pStyle w:val="Akapit2"/>
        <w:numPr>
          <w:ilvl w:val="0"/>
          <w:numId w:val="23"/>
        </w:numPr>
        <w:ind w:left="426" w:hanging="426"/>
      </w:pPr>
      <w:r>
        <w:t xml:space="preserve">Internal reports shall be recorded in the Register of Reports maintained by the ZR Department. </w:t>
      </w:r>
    </w:p>
    <w:p w14:paraId="0FBC5B48" w14:textId="2564A57B" w:rsidR="00F6347F" w:rsidRPr="00AD3ECC" w:rsidRDefault="00F6347F" w:rsidP="00657C75">
      <w:pPr>
        <w:pStyle w:val="Akapit2"/>
        <w:numPr>
          <w:ilvl w:val="0"/>
          <w:numId w:val="23"/>
        </w:numPr>
        <w:ind w:left="426" w:hanging="426"/>
      </w:pPr>
      <w:r>
        <w:t>The Register of Reports shall contain, in particular:</w:t>
      </w:r>
    </w:p>
    <w:p w14:paraId="48069A6B" w14:textId="714FB5C4" w:rsidR="00F6347F" w:rsidRPr="00AD3ECC" w:rsidRDefault="00F6347F" w:rsidP="0046243E">
      <w:pPr>
        <w:pStyle w:val="Bullet-"/>
        <w:numPr>
          <w:ilvl w:val="0"/>
          <w:numId w:val="24"/>
        </w:numPr>
        <w:ind w:left="1134" w:hanging="567"/>
      </w:pPr>
      <w:r>
        <w:t>the report identification number;</w:t>
      </w:r>
    </w:p>
    <w:p w14:paraId="405EE83B" w14:textId="1AC3564B" w:rsidR="00F6347F" w:rsidRPr="00AD3ECC" w:rsidRDefault="00F6347F" w:rsidP="0046243E">
      <w:pPr>
        <w:pStyle w:val="Bullet-"/>
        <w:numPr>
          <w:ilvl w:val="0"/>
          <w:numId w:val="24"/>
        </w:numPr>
        <w:ind w:left="1134" w:hanging="567"/>
      </w:pPr>
      <w:r>
        <w:t>the subject of the report;</w:t>
      </w:r>
    </w:p>
    <w:p w14:paraId="13FFEA11" w14:textId="030B1520" w:rsidR="00F6347F" w:rsidRPr="00AD3ECC" w:rsidRDefault="00F6347F" w:rsidP="0046243E">
      <w:pPr>
        <w:pStyle w:val="Bullet-"/>
        <w:numPr>
          <w:ilvl w:val="0"/>
          <w:numId w:val="24"/>
        </w:numPr>
        <w:ind w:left="1134" w:hanging="567"/>
      </w:pPr>
      <w:r>
        <w:t>the personal data of the person making the Report and the affected person, necessary for the identification of those persons, if provided by the person making the Report or disclosed in the course of follow-up actions;</w:t>
      </w:r>
    </w:p>
    <w:p w14:paraId="5BC33E5A" w14:textId="5DA02B63" w:rsidR="00F6347F" w:rsidRPr="00AD3ECC" w:rsidRDefault="00F6347F" w:rsidP="0046243E">
      <w:pPr>
        <w:pStyle w:val="Bullet-"/>
        <w:numPr>
          <w:ilvl w:val="0"/>
          <w:numId w:val="24"/>
        </w:numPr>
        <w:ind w:left="1134" w:hanging="567"/>
      </w:pPr>
      <w:r>
        <w:t>the contact address of the person making the Report, if provided by him/her;</w:t>
      </w:r>
    </w:p>
    <w:p w14:paraId="6C3BFB07" w14:textId="69834B2C" w:rsidR="00F6347F" w:rsidRPr="00AD3ECC" w:rsidRDefault="00F6347F" w:rsidP="0046243E">
      <w:pPr>
        <w:pStyle w:val="Bullet-"/>
        <w:numPr>
          <w:ilvl w:val="0"/>
          <w:numId w:val="24"/>
        </w:numPr>
        <w:ind w:left="1134" w:hanging="567"/>
      </w:pPr>
      <w:r>
        <w:t>the date of receipt of the internal Report;</w:t>
      </w:r>
    </w:p>
    <w:p w14:paraId="7B1AB9F2" w14:textId="26B85D29" w:rsidR="00DA6CC2" w:rsidRPr="00AD3ECC" w:rsidRDefault="00DA6CC2" w:rsidP="0046243E">
      <w:pPr>
        <w:pStyle w:val="Bullet-"/>
        <w:numPr>
          <w:ilvl w:val="0"/>
          <w:numId w:val="24"/>
        </w:numPr>
        <w:ind w:left="1134" w:hanging="567"/>
      </w:pPr>
      <w:r>
        <w:t>information on the follow-up actions taken;</w:t>
      </w:r>
    </w:p>
    <w:p w14:paraId="541A30CE" w14:textId="39440F48" w:rsidR="00F6347F" w:rsidRPr="00AD3ECC" w:rsidRDefault="00F6347F" w:rsidP="0046243E">
      <w:pPr>
        <w:pStyle w:val="Bullet-"/>
        <w:numPr>
          <w:ilvl w:val="0"/>
          <w:numId w:val="24"/>
        </w:numPr>
        <w:ind w:left="1134" w:hanging="567"/>
      </w:pPr>
      <w:r>
        <w:t>information on the date of commencement and completion of follow-up actions.</w:t>
      </w:r>
    </w:p>
    <w:p w14:paraId="10CB1251" w14:textId="77777777" w:rsidR="00DC1572" w:rsidRDefault="00A007F2" w:rsidP="00390908">
      <w:pPr>
        <w:pStyle w:val="Nagwek1"/>
        <w:numPr>
          <w:ilvl w:val="0"/>
          <w:numId w:val="0"/>
        </w:numPr>
        <w:ind w:left="357"/>
        <w:jc w:val="center"/>
      </w:pPr>
      <w:r>
        <w:t xml:space="preserve">§ 12 </w:t>
      </w:r>
    </w:p>
    <w:p w14:paraId="27A361CE" w14:textId="49D523CB" w:rsidR="0084670E" w:rsidRPr="00AD3ECC" w:rsidRDefault="0084670E" w:rsidP="00390908">
      <w:pPr>
        <w:pStyle w:val="Nagwek1"/>
        <w:numPr>
          <w:ilvl w:val="0"/>
          <w:numId w:val="0"/>
        </w:numPr>
        <w:ind w:left="357"/>
        <w:jc w:val="center"/>
        <w:rPr>
          <w:rStyle w:val="markedcontent"/>
          <w:rFonts w:eastAsia="Calibri"/>
          <w:b w:val="0"/>
          <w:bCs/>
        </w:rPr>
      </w:pPr>
      <w:r>
        <w:t>EXTERNAL REPORTS</w:t>
      </w:r>
    </w:p>
    <w:p w14:paraId="7C72DC06" w14:textId="3213F51B" w:rsidR="0088104B" w:rsidRPr="00AD3ECC" w:rsidRDefault="0084670E" w:rsidP="00657C75">
      <w:pPr>
        <w:pStyle w:val="Akapit1"/>
        <w:numPr>
          <w:ilvl w:val="0"/>
          <w:numId w:val="25"/>
        </w:numPr>
        <w:ind w:left="426" w:hanging="426"/>
        <w:rPr>
          <w:rStyle w:val="markedcontent"/>
          <w:rFonts w:eastAsiaTheme="majorEastAsia"/>
          <w:b/>
        </w:rPr>
      </w:pPr>
      <w:r>
        <w:rPr>
          <w:rStyle w:val="markedcontent"/>
        </w:rPr>
        <w:t xml:space="preserve">Reports concerning </w:t>
      </w:r>
      <w:r>
        <w:t xml:space="preserve">the subject matter of the irregularity indicated in § 2(1)(1)(a), i.e. Reports specified in the Act of 14 June 2024 on the Protection of Whistleblowers may </w:t>
      </w:r>
      <w:r>
        <w:rPr>
          <w:rStyle w:val="markedcontent"/>
        </w:rPr>
        <w:t xml:space="preserve">, in each case and at any time, also be made directly to the Ombudsman, a public authority, and </w:t>
      </w:r>
      <w:r>
        <w:rPr>
          <w:color w:val="333333"/>
          <w:shd w:val="clear" w:color="auto" w:fill="FFFFFF"/>
        </w:rPr>
        <w:t>to the institutions, bodies or organisational units of the European Union competent for the Report in question</w:t>
      </w:r>
      <w:r>
        <w:rPr>
          <w:rStyle w:val="markedcontent"/>
        </w:rPr>
        <w:t>.</w:t>
      </w:r>
    </w:p>
    <w:p w14:paraId="3930D495" w14:textId="598A72A9" w:rsidR="00F84020" w:rsidRPr="00AD3ECC" w:rsidRDefault="00F84020" w:rsidP="00657C75">
      <w:pPr>
        <w:pStyle w:val="Akapit1"/>
        <w:numPr>
          <w:ilvl w:val="0"/>
          <w:numId w:val="25"/>
        </w:numPr>
        <w:ind w:left="426" w:hanging="426"/>
        <w:rPr>
          <w:shd w:val="clear" w:color="auto" w:fill="FFFFFF"/>
        </w:rPr>
      </w:pPr>
      <w:bookmarkStart w:id="9" w:name="_Hlk178783264"/>
      <w:r>
        <w:t xml:space="preserve">All information on how to make external reports is specified </w:t>
      </w:r>
      <w:bookmarkEnd w:id="9"/>
      <w:r>
        <w:t xml:space="preserve">on the </w:t>
      </w:r>
      <w:r>
        <w:rPr>
          <w:rStyle w:val="markedcontent"/>
        </w:rPr>
        <w:t xml:space="preserve">Ombudsman's website, including information on dedicated channels, required information and operating principles. </w:t>
      </w:r>
    </w:p>
    <w:p w14:paraId="52FD6B4A" w14:textId="77777777" w:rsidR="00DC1572" w:rsidRDefault="00A007F2" w:rsidP="00390908">
      <w:pPr>
        <w:pStyle w:val="Nagwek1"/>
        <w:numPr>
          <w:ilvl w:val="0"/>
          <w:numId w:val="0"/>
        </w:numPr>
        <w:ind w:left="599"/>
        <w:jc w:val="center"/>
      </w:pPr>
      <w:r>
        <w:t xml:space="preserve">§ 13 </w:t>
      </w:r>
    </w:p>
    <w:p w14:paraId="5D435E30" w14:textId="4088965E" w:rsidR="00F6347F" w:rsidRPr="00AD3ECC" w:rsidRDefault="00F6347F" w:rsidP="00390908">
      <w:pPr>
        <w:pStyle w:val="Nagwek1"/>
        <w:numPr>
          <w:ilvl w:val="0"/>
          <w:numId w:val="0"/>
        </w:numPr>
        <w:ind w:left="599"/>
        <w:jc w:val="center"/>
      </w:pPr>
      <w:r>
        <w:t>FINAL PROVISIONS</w:t>
      </w:r>
    </w:p>
    <w:p w14:paraId="20646072" w14:textId="24D686C8" w:rsidR="00F84020" w:rsidRPr="00AD3ECC" w:rsidRDefault="00F84020" w:rsidP="00657C75">
      <w:pPr>
        <w:pStyle w:val="Akapit1"/>
        <w:numPr>
          <w:ilvl w:val="0"/>
          <w:numId w:val="27"/>
        </w:numPr>
        <w:ind w:left="426" w:hanging="426"/>
        <w:rPr>
          <w:shd w:val="clear" w:color="auto" w:fill="FFFFFF"/>
        </w:rPr>
      </w:pPr>
      <w:r>
        <w:rPr>
          <w:shd w:val="clear" w:color="auto" w:fill="FFFFFF"/>
        </w:rPr>
        <w:t>The following is prohibited:</w:t>
      </w:r>
    </w:p>
    <w:p w14:paraId="1A3A90B4" w14:textId="348B732E" w:rsidR="00F84020" w:rsidRPr="00AD3ECC" w:rsidRDefault="00F84020" w:rsidP="0046243E">
      <w:pPr>
        <w:pStyle w:val="Bullet-"/>
        <w:numPr>
          <w:ilvl w:val="0"/>
          <w:numId w:val="26"/>
        </w:numPr>
        <w:ind w:left="1134" w:hanging="567"/>
        <w:rPr>
          <w:shd w:val="clear" w:color="auto" w:fill="FFFFFF"/>
        </w:rPr>
      </w:pPr>
      <w:r>
        <w:rPr>
          <w:shd w:val="clear" w:color="auto" w:fill="FFFFFF"/>
        </w:rPr>
        <w:lastRenderedPageBreak/>
        <w:t>attempting to establish the identity of the person making the Report against his/her will;</w:t>
      </w:r>
    </w:p>
    <w:p w14:paraId="7673D0DB" w14:textId="64CE7CEE" w:rsidR="00F84020" w:rsidRPr="00AD3ECC" w:rsidRDefault="00F84020" w:rsidP="0046243E">
      <w:pPr>
        <w:pStyle w:val="Bullet-"/>
        <w:numPr>
          <w:ilvl w:val="0"/>
          <w:numId w:val="26"/>
        </w:numPr>
        <w:ind w:left="1134" w:hanging="567"/>
        <w:rPr>
          <w:shd w:val="clear" w:color="auto" w:fill="FFFFFF"/>
        </w:rPr>
      </w:pPr>
      <w:r>
        <w:rPr>
          <w:shd w:val="clear" w:color="auto" w:fill="FFFFFF"/>
        </w:rPr>
        <w:t>hindering or preventing the making of Reports;</w:t>
      </w:r>
    </w:p>
    <w:p w14:paraId="5E06FABA" w14:textId="609BB2C4" w:rsidR="00F84020" w:rsidRPr="00AD3ECC" w:rsidRDefault="00F84020" w:rsidP="0046243E">
      <w:pPr>
        <w:pStyle w:val="Bullet-"/>
        <w:numPr>
          <w:ilvl w:val="0"/>
          <w:numId w:val="26"/>
        </w:numPr>
        <w:ind w:left="1134" w:hanging="567"/>
        <w:rPr>
          <w:shd w:val="clear" w:color="auto" w:fill="FFFFFF"/>
        </w:rPr>
      </w:pPr>
      <w:r>
        <w:rPr>
          <w:shd w:val="clear" w:color="auto" w:fill="FFFFFF"/>
        </w:rPr>
        <w:t>persuading others not to make Reports;</w:t>
      </w:r>
    </w:p>
    <w:p w14:paraId="60F1DD58" w14:textId="5025F027" w:rsidR="000F1B3E" w:rsidRPr="00AD3ECC" w:rsidRDefault="00F84020" w:rsidP="0046243E">
      <w:pPr>
        <w:pStyle w:val="Bullet-"/>
        <w:numPr>
          <w:ilvl w:val="0"/>
          <w:numId w:val="26"/>
        </w:numPr>
        <w:ind w:left="1134" w:hanging="567"/>
        <w:rPr>
          <w:shd w:val="clear" w:color="auto" w:fill="FFFFFF"/>
        </w:rPr>
      </w:pPr>
      <w:r>
        <w:rPr>
          <w:shd w:val="clear" w:color="auto" w:fill="FFFFFF"/>
        </w:rPr>
        <w:t>taking retaliatory action;</w:t>
      </w:r>
    </w:p>
    <w:p w14:paraId="64CFEB14" w14:textId="16E859A9" w:rsidR="00F84020" w:rsidRPr="00AD3ECC" w:rsidRDefault="000F1B3E" w:rsidP="0046243E">
      <w:pPr>
        <w:pStyle w:val="Bullet-"/>
        <w:numPr>
          <w:ilvl w:val="0"/>
          <w:numId w:val="26"/>
        </w:numPr>
        <w:ind w:left="1134" w:hanging="567"/>
        <w:rPr>
          <w:shd w:val="clear" w:color="auto" w:fill="FFFFFF"/>
        </w:rPr>
      </w:pPr>
      <w:r>
        <w:rPr>
          <w:shd w:val="clear" w:color="auto" w:fill="FFFFFF"/>
        </w:rPr>
        <w:t>making Reports that are clearly unjustified and/or constitute slander, defamation or damage to the reputation of other Employees or KGHM Group Entities.</w:t>
      </w:r>
    </w:p>
    <w:p w14:paraId="38D482A7" w14:textId="05221675" w:rsidR="0079650A" w:rsidRPr="00657C75" w:rsidRDefault="0079650A" w:rsidP="00657C75">
      <w:pPr>
        <w:pStyle w:val="Akapit1"/>
        <w:numPr>
          <w:ilvl w:val="0"/>
          <w:numId w:val="27"/>
        </w:numPr>
        <w:ind w:left="426" w:hanging="426"/>
        <w:rPr>
          <w:shd w:val="clear" w:color="auto" w:fill="FFFFFF"/>
        </w:rPr>
      </w:pPr>
      <w:r>
        <w:rPr>
          <w:shd w:val="clear" w:color="auto" w:fill="FFFFFF"/>
        </w:rPr>
        <w:t>The actions described in paragraph 1 shall be considered a violation of the Procedure.</w:t>
      </w:r>
    </w:p>
    <w:p w14:paraId="626D1ADA" w14:textId="6C133B3D" w:rsidR="0084670E" w:rsidRPr="00AD3ECC" w:rsidRDefault="0084670E" w:rsidP="00657C75">
      <w:pPr>
        <w:pStyle w:val="Akapit1"/>
        <w:numPr>
          <w:ilvl w:val="0"/>
          <w:numId w:val="27"/>
        </w:numPr>
        <w:ind w:left="426" w:hanging="426"/>
        <w:rPr>
          <w:shd w:val="clear" w:color="auto" w:fill="FFFFFF"/>
        </w:rPr>
      </w:pPr>
      <w:r>
        <w:t>The ZR Department is responsible for the adequacy and effectiveness of the Procedure.</w:t>
      </w:r>
    </w:p>
    <w:p w14:paraId="6714A014" w14:textId="5A7AF809" w:rsidR="0084670E" w:rsidRPr="00AD3ECC" w:rsidRDefault="0084670E" w:rsidP="00657C75">
      <w:pPr>
        <w:pStyle w:val="Akapit1"/>
        <w:numPr>
          <w:ilvl w:val="0"/>
          <w:numId w:val="27"/>
        </w:numPr>
        <w:ind w:left="426" w:hanging="426"/>
        <w:rPr>
          <w:shd w:val="clear" w:color="auto" w:fill="FFFFFF"/>
        </w:rPr>
      </w:pPr>
      <w:r>
        <w:t>The adequacy and effectiveness of the Procedure shall be assessed at least once every 12 months.</w:t>
      </w:r>
    </w:p>
    <w:p w14:paraId="1980F3C6" w14:textId="22DB2174" w:rsidR="00DC1572" w:rsidRDefault="00DC1572" w:rsidP="00DC1572">
      <w:pPr>
        <w:pStyle w:val="JSparagraf"/>
      </w:pPr>
      <w:r>
        <w:t>§ 14</w:t>
      </w:r>
    </w:p>
    <w:p w14:paraId="56348048" w14:textId="171B9DC9" w:rsidR="00DC1572" w:rsidRPr="00182ECE" w:rsidRDefault="00DC1572" w:rsidP="00DC1572">
      <w:pPr>
        <w:pStyle w:val="JSparagraf"/>
      </w:pPr>
      <w:r>
        <w:t>RELATED DOCUMENTS</w:t>
      </w:r>
    </w:p>
    <w:p w14:paraId="372A1B87" w14:textId="77777777" w:rsidR="00DC1572" w:rsidRPr="00182ECE" w:rsidRDefault="00DC1572" w:rsidP="0046243E">
      <w:pPr>
        <w:pStyle w:val="JStekst123"/>
        <w:numPr>
          <w:ilvl w:val="0"/>
          <w:numId w:val="34"/>
        </w:numPr>
      </w:pPr>
      <w:r>
        <w:t>Code of Ethics of the KGHM Polska Miedź S.A. Group</w:t>
      </w:r>
    </w:p>
    <w:p w14:paraId="6BAA5571" w14:textId="4BE75D8A" w:rsidR="00DC1572" w:rsidRDefault="00DC1572" w:rsidP="00DC1572">
      <w:pPr>
        <w:pStyle w:val="JStekst123"/>
      </w:pPr>
      <w:r>
        <w:t>KGHM Polska Miedź S.A. Group. Procedure for counteracting violations of labour law violations in the area of equal treatment of workers, in particular mobbing and discrimination.</w:t>
      </w:r>
    </w:p>
    <w:p w14:paraId="374B1369" w14:textId="597B6615" w:rsidR="00DC1572" w:rsidRDefault="00DC1572" w:rsidP="00657C75">
      <w:pPr>
        <w:pStyle w:val="JStekst123"/>
      </w:pPr>
      <w:r>
        <w:t>KGHM Polska Miedź S.A. Capital Group. Ethics Committee’s Regulations.</w:t>
      </w:r>
    </w:p>
    <w:p w14:paraId="29E0367A" w14:textId="42AAEC5E" w:rsidR="00DC1572" w:rsidRDefault="00DC1572" w:rsidP="00DC1572">
      <w:pPr>
        <w:pStyle w:val="JSparagraf"/>
      </w:pPr>
      <w:r>
        <w:t>§ 15</w:t>
      </w:r>
    </w:p>
    <w:p w14:paraId="0B38CA7F" w14:textId="6C4F3FAF" w:rsidR="00F6347F" w:rsidRPr="00AD3ECC" w:rsidRDefault="00F6347F" w:rsidP="00DC1572">
      <w:pPr>
        <w:pStyle w:val="Nagwek1"/>
        <w:numPr>
          <w:ilvl w:val="0"/>
          <w:numId w:val="0"/>
        </w:numPr>
        <w:ind w:left="357" w:hanging="357"/>
        <w:jc w:val="center"/>
      </w:pPr>
      <w:r>
        <w:t>APPENDICES</w:t>
      </w:r>
    </w:p>
    <w:p w14:paraId="420C748D" w14:textId="3A8A5261" w:rsidR="00764BBD" w:rsidRPr="00AD3ECC" w:rsidRDefault="00764BBD" w:rsidP="00657C75">
      <w:pPr>
        <w:pStyle w:val="Akapitzlist"/>
        <w:numPr>
          <w:ilvl w:val="0"/>
          <w:numId w:val="10"/>
        </w:numPr>
        <w:ind w:left="426" w:hanging="426"/>
        <w:rPr>
          <w:szCs w:val="20"/>
        </w:rPr>
      </w:pPr>
      <w:r>
        <w:t>Material scope of reports pursuant to the Act of 14 June 2024 on the Protection of Whistleblowers.</w:t>
      </w:r>
    </w:p>
    <w:p w14:paraId="0E07B00E" w14:textId="77777777" w:rsidR="00DC1572" w:rsidRDefault="00F6347F" w:rsidP="00657C75">
      <w:pPr>
        <w:pStyle w:val="Akapitzlist"/>
        <w:numPr>
          <w:ilvl w:val="0"/>
          <w:numId w:val="10"/>
        </w:numPr>
        <w:ind w:left="426" w:hanging="426"/>
        <w:rPr>
          <w:szCs w:val="20"/>
        </w:rPr>
      </w:pPr>
      <w:r>
        <w:t>Internal Report Form.</w:t>
      </w:r>
    </w:p>
    <w:p w14:paraId="2D33AEE7" w14:textId="5601A2E3" w:rsidR="0048603B" w:rsidRPr="00AD3ECC" w:rsidRDefault="002273EE" w:rsidP="00657C75">
      <w:pPr>
        <w:pStyle w:val="Akapitzlist"/>
        <w:ind w:left="426" w:hanging="426"/>
        <w:rPr>
          <w:szCs w:val="20"/>
        </w:rPr>
        <w:sectPr w:rsidR="0048603B" w:rsidRPr="00AD3ECC" w:rsidSect="00390908">
          <w:headerReference w:type="default" r:id="rId13"/>
          <w:headerReference w:type="first" r:id="rId14"/>
          <w:type w:val="continuous"/>
          <w:pgSz w:w="11906" w:h="16838"/>
          <w:pgMar w:top="1417" w:right="1417" w:bottom="1417" w:left="1417" w:header="425" w:footer="312" w:gutter="0"/>
          <w:cols w:space="708"/>
          <w:docGrid w:linePitch="326"/>
        </w:sectPr>
      </w:pPr>
      <w:r>
        <w:br w:type="page"/>
      </w:r>
    </w:p>
    <w:p w14:paraId="0B6E0E7F" w14:textId="2ADA9B1B" w:rsidR="00397B58" w:rsidRPr="00AD3ECC" w:rsidRDefault="00397B58" w:rsidP="00390908">
      <w:pPr>
        <w:ind w:left="0"/>
      </w:pPr>
      <w:r>
        <w:lastRenderedPageBreak/>
        <w:t>Pursuant to Article 3(1) of the Act of 14 June 2024 on the Protection of Whistleblowers, a breach of law is an act or omission that is unlawful or intended to circumvent the law and that concerns:</w:t>
      </w:r>
    </w:p>
    <w:p w14:paraId="182ECE9E" w14:textId="3CD4E118" w:rsidR="00397B58" w:rsidRPr="00AD3ECC" w:rsidRDefault="00397B58" w:rsidP="0046243E">
      <w:pPr>
        <w:pStyle w:val="Akapitzlist"/>
        <w:numPr>
          <w:ilvl w:val="0"/>
          <w:numId w:val="11"/>
        </w:numPr>
        <w:ind w:hanging="579"/>
      </w:pPr>
      <w:r>
        <w:t>corruption;</w:t>
      </w:r>
    </w:p>
    <w:p w14:paraId="56B94AE1" w14:textId="43B5C74B" w:rsidR="00397B58" w:rsidRPr="00AD3ECC" w:rsidRDefault="00397B58" w:rsidP="0046243E">
      <w:pPr>
        <w:pStyle w:val="Akapitzlist"/>
        <w:numPr>
          <w:ilvl w:val="0"/>
          <w:numId w:val="11"/>
        </w:numPr>
        <w:ind w:hanging="579"/>
      </w:pPr>
      <w:r>
        <w:t>public procurement;</w:t>
      </w:r>
    </w:p>
    <w:p w14:paraId="1D7A7E85" w14:textId="74F2B182" w:rsidR="00397B58" w:rsidRPr="00AD3ECC" w:rsidRDefault="00397B58" w:rsidP="0046243E">
      <w:pPr>
        <w:pStyle w:val="Akapitzlist"/>
        <w:numPr>
          <w:ilvl w:val="0"/>
          <w:numId w:val="11"/>
        </w:numPr>
        <w:ind w:hanging="579"/>
      </w:pPr>
      <w:r>
        <w:t>financial services, products and markets;</w:t>
      </w:r>
    </w:p>
    <w:p w14:paraId="7F54738D" w14:textId="64C4B494" w:rsidR="00397B58" w:rsidRPr="00AD3ECC" w:rsidRDefault="00397B58" w:rsidP="0046243E">
      <w:pPr>
        <w:pStyle w:val="Akapitzlist"/>
        <w:numPr>
          <w:ilvl w:val="0"/>
          <w:numId w:val="11"/>
        </w:numPr>
        <w:ind w:hanging="579"/>
      </w:pPr>
      <w:r>
        <w:t>prevention of money laundering and terrorist financing;</w:t>
      </w:r>
    </w:p>
    <w:p w14:paraId="65E1F41D" w14:textId="4BFA067B" w:rsidR="00397B58" w:rsidRPr="00AD3ECC" w:rsidRDefault="00397B58" w:rsidP="0046243E">
      <w:pPr>
        <w:pStyle w:val="Akapitzlist"/>
        <w:numPr>
          <w:ilvl w:val="0"/>
          <w:numId w:val="11"/>
        </w:numPr>
        <w:ind w:hanging="579"/>
      </w:pPr>
      <w:r>
        <w:t>product safety and compliance;</w:t>
      </w:r>
    </w:p>
    <w:p w14:paraId="285EDB2C" w14:textId="665ABCE6" w:rsidR="00397B58" w:rsidRPr="00AD3ECC" w:rsidRDefault="00397B58" w:rsidP="0046243E">
      <w:pPr>
        <w:pStyle w:val="Akapitzlist"/>
        <w:numPr>
          <w:ilvl w:val="0"/>
          <w:numId w:val="11"/>
        </w:numPr>
        <w:ind w:hanging="579"/>
      </w:pPr>
      <w:r>
        <w:t>security of transport;</w:t>
      </w:r>
    </w:p>
    <w:p w14:paraId="5A0AEA45" w14:textId="63646ADC" w:rsidR="00397B58" w:rsidRPr="00AD3ECC" w:rsidRDefault="00397B58" w:rsidP="0046243E">
      <w:pPr>
        <w:pStyle w:val="Akapitzlist"/>
        <w:numPr>
          <w:ilvl w:val="0"/>
          <w:numId w:val="11"/>
        </w:numPr>
        <w:ind w:hanging="579"/>
      </w:pPr>
      <w:r>
        <w:t>environmental protection;</w:t>
      </w:r>
    </w:p>
    <w:p w14:paraId="1D76992D" w14:textId="184607D5" w:rsidR="00397B58" w:rsidRPr="00AD3ECC" w:rsidRDefault="00397B58" w:rsidP="0046243E">
      <w:pPr>
        <w:pStyle w:val="Akapitzlist"/>
        <w:numPr>
          <w:ilvl w:val="0"/>
          <w:numId w:val="11"/>
        </w:numPr>
        <w:ind w:hanging="579"/>
      </w:pPr>
      <w:r>
        <w:t>radiological protection and nuclear safety;</w:t>
      </w:r>
    </w:p>
    <w:p w14:paraId="5D0D4807" w14:textId="3157FA65" w:rsidR="00397B58" w:rsidRPr="00AD3ECC" w:rsidRDefault="00397B58" w:rsidP="0046243E">
      <w:pPr>
        <w:pStyle w:val="Akapitzlist"/>
        <w:numPr>
          <w:ilvl w:val="0"/>
          <w:numId w:val="11"/>
        </w:numPr>
        <w:ind w:hanging="579"/>
      </w:pPr>
      <w:r>
        <w:t>food and feed safety;</w:t>
      </w:r>
    </w:p>
    <w:p w14:paraId="619126A8" w14:textId="5CF4237A" w:rsidR="00397B58" w:rsidRPr="00AD3ECC" w:rsidRDefault="00397B58" w:rsidP="0046243E">
      <w:pPr>
        <w:pStyle w:val="Akapitzlist"/>
        <w:numPr>
          <w:ilvl w:val="0"/>
          <w:numId w:val="11"/>
        </w:numPr>
        <w:ind w:hanging="579"/>
      </w:pPr>
      <w:r>
        <w:t>animal health and welfare;</w:t>
      </w:r>
    </w:p>
    <w:p w14:paraId="1884ED60" w14:textId="7022C9EE" w:rsidR="00397B58" w:rsidRPr="00AD3ECC" w:rsidRDefault="00397B58" w:rsidP="0046243E">
      <w:pPr>
        <w:pStyle w:val="Akapitzlist"/>
        <w:numPr>
          <w:ilvl w:val="0"/>
          <w:numId w:val="11"/>
        </w:numPr>
        <w:ind w:hanging="579"/>
      </w:pPr>
      <w:r>
        <w:t>public health;</w:t>
      </w:r>
    </w:p>
    <w:p w14:paraId="3E933665" w14:textId="22AB768C" w:rsidR="00397B58" w:rsidRPr="00AD3ECC" w:rsidRDefault="00397B58" w:rsidP="0046243E">
      <w:pPr>
        <w:pStyle w:val="Akapitzlist"/>
        <w:numPr>
          <w:ilvl w:val="0"/>
          <w:numId w:val="11"/>
        </w:numPr>
        <w:ind w:hanging="579"/>
      </w:pPr>
      <w:r>
        <w:t>consumer protection;</w:t>
      </w:r>
    </w:p>
    <w:p w14:paraId="309A9536" w14:textId="563A4E60" w:rsidR="00397B58" w:rsidRPr="00AD3ECC" w:rsidRDefault="00397B58" w:rsidP="0046243E">
      <w:pPr>
        <w:pStyle w:val="Akapitzlist"/>
        <w:numPr>
          <w:ilvl w:val="0"/>
          <w:numId w:val="11"/>
        </w:numPr>
        <w:ind w:hanging="579"/>
      </w:pPr>
      <w:r>
        <w:t>privacy and data protection;</w:t>
      </w:r>
    </w:p>
    <w:p w14:paraId="355B0E43" w14:textId="69972749" w:rsidR="00397B58" w:rsidRPr="00AD3ECC" w:rsidRDefault="00397B58" w:rsidP="0046243E">
      <w:pPr>
        <w:pStyle w:val="Akapitzlist"/>
        <w:numPr>
          <w:ilvl w:val="0"/>
          <w:numId w:val="11"/>
        </w:numPr>
        <w:ind w:hanging="579"/>
      </w:pPr>
      <w:r>
        <w:t>security of ICT networks and systems;</w:t>
      </w:r>
    </w:p>
    <w:p w14:paraId="65DA41DC" w14:textId="4C596257" w:rsidR="00397B58" w:rsidRPr="00AD3ECC" w:rsidRDefault="00397B58" w:rsidP="0046243E">
      <w:pPr>
        <w:pStyle w:val="Akapitzlist"/>
        <w:numPr>
          <w:ilvl w:val="0"/>
          <w:numId w:val="11"/>
        </w:numPr>
        <w:ind w:hanging="579"/>
      </w:pPr>
      <w:r>
        <w:t>financial interests of the State Treasury of the Republic of Poland, of the local government unit and of the European Union;</w:t>
      </w:r>
    </w:p>
    <w:p w14:paraId="620C6204" w14:textId="5D24A3A7" w:rsidR="00397B58" w:rsidRPr="00AD3ECC" w:rsidRDefault="00397B58" w:rsidP="0046243E">
      <w:pPr>
        <w:pStyle w:val="Akapitzlist"/>
        <w:numPr>
          <w:ilvl w:val="0"/>
          <w:numId w:val="11"/>
        </w:numPr>
        <w:ind w:hanging="579"/>
      </w:pPr>
      <w:r>
        <w:t>internal market of the European Union, including public-law competition, State aid and corporate tax rules;</w:t>
      </w:r>
    </w:p>
    <w:p w14:paraId="3ECE9D7D" w14:textId="77777777" w:rsidR="00954028" w:rsidRPr="00AD3ECC" w:rsidRDefault="00397B58" w:rsidP="0046243E">
      <w:pPr>
        <w:pStyle w:val="Akapitzlist"/>
        <w:numPr>
          <w:ilvl w:val="0"/>
          <w:numId w:val="11"/>
        </w:numPr>
        <w:ind w:hanging="579"/>
      </w:pPr>
      <w:r>
        <w:t>constitutional human and civil rights and freedoms – existing in relations of individuals with public authorities and not related to the areas set out in points 1 to 16.</w:t>
      </w:r>
    </w:p>
    <w:p w14:paraId="32A49132" w14:textId="77777777" w:rsidR="005B0A67" w:rsidRPr="00AD3ECC" w:rsidRDefault="002273EE" w:rsidP="00954028">
      <w:pPr>
        <w:sectPr w:rsidR="005B0A67" w:rsidRPr="00AD3ECC" w:rsidSect="005B0A67">
          <w:headerReference w:type="default" r:id="rId15"/>
          <w:footerReference w:type="default" r:id="rId16"/>
          <w:pgSz w:w="11906" w:h="16838"/>
          <w:pgMar w:top="993" w:right="851" w:bottom="1134" w:left="1134" w:header="425" w:footer="312" w:gutter="0"/>
          <w:pgNumType w:start="1"/>
          <w:cols w:space="708"/>
          <w:docGrid w:linePitch="326"/>
        </w:sectPr>
      </w:pPr>
      <w:r>
        <w:br w:type="page"/>
      </w:r>
    </w:p>
    <w:tbl>
      <w:tblPr>
        <w:tblStyle w:val="Tabela-Siatka"/>
        <w:tblW w:w="0" w:type="auto"/>
        <w:tblInd w:w="421" w:type="dxa"/>
        <w:tblLook w:val="04A0" w:firstRow="1" w:lastRow="0" w:firstColumn="1" w:lastColumn="0" w:noHBand="0" w:noVBand="1"/>
      </w:tblPr>
      <w:tblGrid>
        <w:gridCol w:w="9478"/>
      </w:tblGrid>
      <w:tr w:rsidR="00F84020" w:rsidRPr="00AD3ECC" w14:paraId="41ECB5C5" w14:textId="77777777" w:rsidTr="0086532C">
        <w:trPr>
          <w:trHeight w:val="566"/>
        </w:trPr>
        <w:tc>
          <w:tcPr>
            <w:tcW w:w="9478" w:type="dxa"/>
            <w:tcBorders>
              <w:top w:val="single" w:sz="4" w:space="0" w:color="auto"/>
              <w:left w:val="single" w:sz="4" w:space="0" w:color="auto"/>
              <w:bottom w:val="single" w:sz="4" w:space="0" w:color="auto"/>
              <w:right w:val="single" w:sz="4" w:space="0" w:color="auto"/>
            </w:tcBorders>
            <w:hideMark/>
          </w:tcPr>
          <w:p w14:paraId="1708A69E" w14:textId="77777777" w:rsidR="00F84020" w:rsidRPr="00AD3ECC" w:rsidRDefault="00F84020" w:rsidP="0086532C">
            <w:r>
              <w:rPr>
                <w:b/>
              </w:rPr>
              <w:lastRenderedPageBreak/>
              <w:t>REPORTING IRREGULARITIE</w:t>
            </w:r>
            <w:r w:rsidRPr="00AD3ECC">
              <w:rPr>
                <w:rStyle w:val="Odwoanieprzypisudolnego"/>
              </w:rPr>
              <w:footnoteReference w:id="2"/>
            </w:r>
          </w:p>
        </w:tc>
      </w:tr>
      <w:tr w:rsidR="00F84020" w:rsidRPr="00AD3ECC" w14:paraId="44B734A5" w14:textId="77777777" w:rsidTr="0086532C">
        <w:trPr>
          <w:trHeight w:val="419"/>
        </w:trPr>
        <w:tc>
          <w:tcPr>
            <w:tcW w:w="9478" w:type="dxa"/>
            <w:tcBorders>
              <w:top w:val="single" w:sz="4" w:space="0" w:color="auto"/>
              <w:left w:val="single" w:sz="4" w:space="0" w:color="auto"/>
              <w:bottom w:val="single" w:sz="4" w:space="0" w:color="auto"/>
              <w:right w:val="single" w:sz="4" w:space="0" w:color="auto"/>
            </w:tcBorders>
          </w:tcPr>
          <w:p w14:paraId="31060D26" w14:textId="487F4281" w:rsidR="00F84020" w:rsidRPr="00AD3ECC" w:rsidRDefault="00F84020" w:rsidP="0086532C">
            <w:r>
              <w:t>This form is used to report irregularities within the KGHM Group in accordance with the ‘</w:t>
            </w:r>
            <w:r>
              <w:rPr>
                <w:i/>
                <w:iCs/>
              </w:rPr>
              <w:t>Procedure for accepting internal reports of legal violations and taking follow-up action in the KGHM Polska Miedź S.A. Group</w:t>
            </w:r>
            <w:r>
              <w:t>.’</w:t>
            </w:r>
          </w:p>
          <w:p w14:paraId="503348B0" w14:textId="77777777" w:rsidR="00F84020" w:rsidRPr="00AD3ECC" w:rsidRDefault="00F84020" w:rsidP="0086532C">
            <w:r>
              <w:t>Contact details:</w:t>
            </w:r>
          </w:p>
          <w:p w14:paraId="5A7878A1" w14:textId="77777777" w:rsidR="00F84020" w:rsidRPr="00AD3ECC" w:rsidRDefault="00F84020" w:rsidP="0086532C">
            <w:r>
              <w:t>Corporate Risk and Compliance Management Department</w:t>
            </w:r>
          </w:p>
          <w:p w14:paraId="5AB89985" w14:textId="77777777" w:rsidR="00F84020" w:rsidRPr="00AD3ECC" w:rsidRDefault="00F84020" w:rsidP="0086532C">
            <w:r>
              <w:t xml:space="preserve">KGHM Polska Miedź S.A. </w:t>
            </w:r>
          </w:p>
          <w:p w14:paraId="76E665C5" w14:textId="77777777" w:rsidR="00F84020" w:rsidRPr="00AD3ECC" w:rsidRDefault="00F84020" w:rsidP="0086532C">
            <w:r>
              <w:t xml:space="preserve">ul. M. </w:t>
            </w:r>
            <w:proofErr w:type="spellStart"/>
            <w:r>
              <w:t>Skłodowskiej</w:t>
            </w:r>
            <w:proofErr w:type="spellEnd"/>
            <w:r>
              <w:t>-Curie 48</w:t>
            </w:r>
          </w:p>
          <w:p w14:paraId="3898584A" w14:textId="77777777" w:rsidR="005B0A67" w:rsidRPr="00AD3ECC" w:rsidRDefault="00F84020" w:rsidP="0086532C">
            <w:pPr>
              <w:jc w:val="left"/>
              <w:rPr>
                <w:b/>
                <w:bCs w:val="0"/>
              </w:rPr>
            </w:pPr>
            <w:r>
              <w:t>Note: ‘</w:t>
            </w:r>
            <w:r>
              <w:rPr>
                <w:b/>
              </w:rPr>
              <w:t>Internal report – for the attention of ZR onl</w:t>
            </w:r>
            <w:r>
              <w:t>y’.</w:t>
            </w:r>
          </w:p>
          <w:p w14:paraId="7FDB2A54" w14:textId="7BC11039" w:rsidR="00F84020" w:rsidRPr="00AD3ECC" w:rsidRDefault="00F84020" w:rsidP="0086532C">
            <w:pPr>
              <w:jc w:val="left"/>
            </w:pPr>
            <w:r>
              <w:t>59-301 Lubin</w:t>
            </w:r>
          </w:p>
          <w:p w14:paraId="15F3CAC9" w14:textId="77777777" w:rsidR="00F84020" w:rsidRPr="00AD3ECC" w:rsidRDefault="00F84020" w:rsidP="0086532C">
            <w:r>
              <w:t>Tel. +48 76 747 8282</w:t>
            </w:r>
          </w:p>
        </w:tc>
      </w:tr>
      <w:tr w:rsidR="002468A9" w:rsidRPr="00AD3ECC" w14:paraId="32CA06AC" w14:textId="77777777" w:rsidTr="0086532C">
        <w:trPr>
          <w:trHeight w:val="419"/>
        </w:trPr>
        <w:tc>
          <w:tcPr>
            <w:tcW w:w="9478" w:type="dxa"/>
            <w:tcBorders>
              <w:top w:val="single" w:sz="4" w:space="0" w:color="auto"/>
              <w:left w:val="single" w:sz="4" w:space="0" w:color="auto"/>
              <w:bottom w:val="single" w:sz="4" w:space="0" w:color="auto"/>
              <w:right w:val="single" w:sz="4" w:space="0" w:color="auto"/>
            </w:tcBorders>
            <w:hideMark/>
          </w:tcPr>
          <w:p w14:paraId="521246A3" w14:textId="26A2702E" w:rsidR="000D6404" w:rsidRPr="00AD3ECC" w:rsidRDefault="000D6404" w:rsidP="0086532C">
            <w:pPr>
              <w:rPr>
                <w:b/>
                <w:bCs w:val="0"/>
              </w:rPr>
            </w:pPr>
            <w:r>
              <w:rPr>
                <w:b/>
              </w:rPr>
              <w:t>FORM OF REPORTING</w:t>
            </w:r>
          </w:p>
          <w:p w14:paraId="18B97B47" w14:textId="21037983" w:rsidR="002468A9" w:rsidRPr="00AD3ECC" w:rsidRDefault="002468A9" w:rsidP="0086532C">
            <w:r>
              <w:t>ANONYMOUS:  YES / NO (please tick by ‘x’ the appropriate box)</w:t>
            </w:r>
          </w:p>
          <w:p w14:paraId="08F1EAF9" w14:textId="7446DAEA" w:rsidR="002468A9" w:rsidRPr="00AD3ECC" w:rsidRDefault="002468A9" w:rsidP="0086532C">
            <w:r>
              <w:t xml:space="preserve">Comment: An anonymous report </w:t>
            </w:r>
            <w:r>
              <w:rPr>
                <w:b/>
                <w:u w:val="single"/>
              </w:rPr>
              <w:t>cannot</w:t>
            </w:r>
            <w:r>
              <w:t xml:space="preserve"> be submitted on irregularities from the following areas:</w:t>
            </w:r>
          </w:p>
          <w:p w14:paraId="43D00E1A" w14:textId="5D4932F3" w:rsidR="002468A9" w:rsidRPr="00AD3ECC" w:rsidRDefault="002468A9" w:rsidP="0046243E">
            <w:pPr>
              <w:pStyle w:val="Akapitzlist"/>
              <w:numPr>
                <w:ilvl w:val="0"/>
                <w:numId w:val="1"/>
              </w:numPr>
              <w:rPr>
                <w:szCs w:val="20"/>
              </w:rPr>
            </w:pPr>
            <w:r>
              <w:t>mobbing/discrimination;</w:t>
            </w:r>
          </w:p>
          <w:p w14:paraId="1FB9C567" w14:textId="77777777" w:rsidR="002468A9" w:rsidRPr="00AD3ECC" w:rsidRDefault="002468A9" w:rsidP="0046243E">
            <w:pPr>
              <w:pStyle w:val="Akapitzlist"/>
              <w:numPr>
                <w:ilvl w:val="0"/>
                <w:numId w:val="1"/>
              </w:numPr>
              <w:rPr>
                <w:szCs w:val="20"/>
              </w:rPr>
            </w:pPr>
            <w:r>
              <w:t>privacy and personal data protection;</w:t>
            </w:r>
          </w:p>
          <w:p w14:paraId="2C82D8F5" w14:textId="61226A25" w:rsidR="002468A9" w:rsidRPr="00AD3ECC" w:rsidRDefault="002468A9" w:rsidP="0046243E">
            <w:pPr>
              <w:pStyle w:val="Akapitzlist"/>
              <w:numPr>
                <w:ilvl w:val="0"/>
                <w:numId w:val="1"/>
              </w:numPr>
              <w:rPr>
                <w:szCs w:val="20"/>
              </w:rPr>
            </w:pPr>
            <w:r>
              <w:t>security of ICT networks and systems;</w:t>
            </w:r>
          </w:p>
        </w:tc>
      </w:tr>
      <w:tr w:rsidR="002468A9" w:rsidRPr="00AD3ECC" w14:paraId="356B11F1" w14:textId="77777777" w:rsidTr="0086532C">
        <w:trPr>
          <w:trHeight w:val="419"/>
        </w:trPr>
        <w:tc>
          <w:tcPr>
            <w:tcW w:w="9478" w:type="dxa"/>
            <w:tcBorders>
              <w:top w:val="single" w:sz="4" w:space="0" w:color="auto"/>
              <w:left w:val="single" w:sz="4" w:space="0" w:color="auto"/>
              <w:bottom w:val="single" w:sz="4" w:space="0" w:color="auto"/>
              <w:right w:val="single" w:sz="4" w:space="0" w:color="auto"/>
            </w:tcBorders>
          </w:tcPr>
          <w:p w14:paraId="31FBF2AD" w14:textId="402355E1" w:rsidR="000D6404" w:rsidRPr="00AD3ECC" w:rsidRDefault="000D6404" w:rsidP="0086532C">
            <w:pPr>
              <w:rPr>
                <w:b/>
                <w:bCs w:val="0"/>
              </w:rPr>
            </w:pPr>
            <w:r>
              <w:rPr>
                <w:b/>
              </w:rPr>
              <w:t>Details of the person making the Report:</w:t>
            </w:r>
          </w:p>
          <w:tbl>
            <w:tblPr>
              <w:tblStyle w:val="Tabela-Siatka"/>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6675"/>
            </w:tblGrid>
            <w:tr w:rsidR="0086532C" w:rsidRPr="00AD3ECC" w14:paraId="5F0B95B6" w14:textId="77777777" w:rsidTr="0086532C">
              <w:tc>
                <w:tcPr>
                  <w:tcW w:w="2152" w:type="dxa"/>
                </w:tcPr>
                <w:p w14:paraId="2A9BAB1A" w14:textId="16786EE7" w:rsidR="0086532C" w:rsidRPr="00AD3ECC" w:rsidRDefault="0086532C" w:rsidP="0086532C">
                  <w:pPr>
                    <w:ind w:left="0"/>
                    <w:jc w:val="left"/>
                  </w:pPr>
                  <w:r>
                    <w:t>Full name:</w:t>
                  </w:r>
                </w:p>
              </w:tc>
              <w:tc>
                <w:tcPr>
                  <w:tcW w:w="6675" w:type="dxa"/>
                  <w:tcBorders>
                    <w:bottom w:val="dashed" w:sz="4" w:space="0" w:color="auto"/>
                  </w:tcBorders>
                </w:tcPr>
                <w:p w14:paraId="30FFC3E9" w14:textId="77777777" w:rsidR="0086532C" w:rsidRPr="00AD3ECC" w:rsidRDefault="0086532C" w:rsidP="0086532C">
                  <w:pPr>
                    <w:ind w:left="0"/>
                  </w:pPr>
                </w:p>
              </w:tc>
            </w:tr>
            <w:tr w:rsidR="0086532C" w:rsidRPr="00AD3ECC" w14:paraId="3C200569" w14:textId="77777777" w:rsidTr="0086532C">
              <w:tc>
                <w:tcPr>
                  <w:tcW w:w="2152" w:type="dxa"/>
                </w:tcPr>
                <w:p w14:paraId="5A7B5FAD" w14:textId="4042F152" w:rsidR="0086532C" w:rsidRPr="00AD3ECC" w:rsidRDefault="0086532C" w:rsidP="0086532C">
                  <w:pPr>
                    <w:ind w:left="0"/>
                    <w:jc w:val="left"/>
                  </w:pPr>
                  <w:r>
                    <w:t>Contact details:</w:t>
                  </w:r>
                </w:p>
              </w:tc>
              <w:tc>
                <w:tcPr>
                  <w:tcW w:w="6675" w:type="dxa"/>
                  <w:tcBorders>
                    <w:top w:val="dashed" w:sz="4" w:space="0" w:color="auto"/>
                    <w:bottom w:val="dashed" w:sz="4" w:space="0" w:color="auto"/>
                  </w:tcBorders>
                </w:tcPr>
                <w:p w14:paraId="4A1253A7" w14:textId="77777777" w:rsidR="0086532C" w:rsidRPr="00AD3ECC" w:rsidRDefault="0086532C" w:rsidP="0086532C">
                  <w:pPr>
                    <w:ind w:left="0"/>
                  </w:pPr>
                </w:p>
              </w:tc>
            </w:tr>
            <w:tr w:rsidR="0086532C" w:rsidRPr="00AD3ECC" w14:paraId="74782B75" w14:textId="77777777" w:rsidTr="0086532C">
              <w:tc>
                <w:tcPr>
                  <w:tcW w:w="2152" w:type="dxa"/>
                </w:tcPr>
                <w:p w14:paraId="337C5B85" w14:textId="609D6041" w:rsidR="0086532C" w:rsidRPr="00AD3ECC" w:rsidRDefault="0086532C" w:rsidP="0046243E">
                  <w:pPr>
                    <w:pStyle w:val="Akapitzlist"/>
                    <w:numPr>
                      <w:ilvl w:val="0"/>
                      <w:numId w:val="12"/>
                    </w:numPr>
                    <w:ind w:left="343"/>
                    <w:jc w:val="left"/>
                  </w:pPr>
                  <w:r>
                    <w:t>phone:</w:t>
                  </w:r>
                </w:p>
              </w:tc>
              <w:tc>
                <w:tcPr>
                  <w:tcW w:w="6675" w:type="dxa"/>
                  <w:tcBorders>
                    <w:top w:val="dashed" w:sz="4" w:space="0" w:color="auto"/>
                    <w:bottom w:val="dashed" w:sz="4" w:space="0" w:color="auto"/>
                  </w:tcBorders>
                </w:tcPr>
                <w:p w14:paraId="44CFD701" w14:textId="77777777" w:rsidR="0086532C" w:rsidRPr="00AD3ECC" w:rsidRDefault="0086532C" w:rsidP="0086532C">
                  <w:pPr>
                    <w:ind w:left="0"/>
                  </w:pPr>
                </w:p>
              </w:tc>
            </w:tr>
            <w:tr w:rsidR="0086532C" w:rsidRPr="00AD3ECC" w14:paraId="19553F7D" w14:textId="77777777" w:rsidTr="0086532C">
              <w:tc>
                <w:tcPr>
                  <w:tcW w:w="2152" w:type="dxa"/>
                </w:tcPr>
                <w:p w14:paraId="41282F80" w14:textId="059E82DB" w:rsidR="0086532C" w:rsidRPr="00AD3ECC" w:rsidRDefault="0086532C" w:rsidP="0046243E">
                  <w:pPr>
                    <w:pStyle w:val="Akapitzlist"/>
                    <w:numPr>
                      <w:ilvl w:val="0"/>
                      <w:numId w:val="12"/>
                    </w:numPr>
                    <w:ind w:left="343"/>
                    <w:jc w:val="left"/>
                  </w:pPr>
                  <w:r>
                    <w:t>e-mail address:</w:t>
                  </w:r>
                </w:p>
              </w:tc>
              <w:tc>
                <w:tcPr>
                  <w:tcW w:w="6675" w:type="dxa"/>
                  <w:tcBorders>
                    <w:top w:val="dashed" w:sz="4" w:space="0" w:color="auto"/>
                    <w:bottom w:val="dashed" w:sz="4" w:space="0" w:color="auto"/>
                  </w:tcBorders>
                </w:tcPr>
                <w:p w14:paraId="3DB30F0D" w14:textId="77777777" w:rsidR="0086532C" w:rsidRPr="00AD3ECC" w:rsidRDefault="0086532C" w:rsidP="0086532C">
                  <w:pPr>
                    <w:ind w:left="0"/>
                  </w:pPr>
                </w:p>
              </w:tc>
            </w:tr>
          </w:tbl>
          <w:p w14:paraId="322AF7A4" w14:textId="477FD2D8" w:rsidR="0086532C" w:rsidRPr="00AD3ECC" w:rsidRDefault="0086532C" w:rsidP="005B0A67">
            <w:pPr>
              <w:rPr>
                <w:sz w:val="6"/>
                <w:szCs w:val="6"/>
              </w:rPr>
            </w:pPr>
            <w:r>
              <w:rPr>
                <w:sz w:val="6"/>
              </w:rPr>
              <w:t xml:space="preserve"> </w:t>
            </w:r>
          </w:p>
        </w:tc>
      </w:tr>
      <w:tr w:rsidR="000D6404" w:rsidRPr="00AD3ECC" w14:paraId="7F744906" w14:textId="77777777" w:rsidTr="0086532C">
        <w:trPr>
          <w:trHeight w:val="419"/>
        </w:trPr>
        <w:tc>
          <w:tcPr>
            <w:tcW w:w="9478" w:type="dxa"/>
            <w:tcBorders>
              <w:top w:val="single" w:sz="4" w:space="0" w:color="auto"/>
              <w:left w:val="single" w:sz="4" w:space="0" w:color="auto"/>
              <w:bottom w:val="single" w:sz="4" w:space="0" w:color="auto"/>
              <w:right w:val="single" w:sz="4" w:space="0" w:color="auto"/>
            </w:tcBorders>
          </w:tcPr>
          <w:p w14:paraId="12EF3FEE" w14:textId="0E11D8B6" w:rsidR="000D6404" w:rsidRPr="00AD3ECC" w:rsidRDefault="000D6404" w:rsidP="0086532C">
            <w:r>
              <w:t>KGHM Group entity to which the report relates: ……………………………………………………………………….</w:t>
            </w:r>
          </w:p>
        </w:tc>
      </w:tr>
      <w:tr w:rsidR="000D6404" w:rsidRPr="00AD3ECC" w14:paraId="7A62C3CC" w14:textId="77777777" w:rsidTr="0086532C">
        <w:trPr>
          <w:trHeight w:val="3284"/>
        </w:trPr>
        <w:tc>
          <w:tcPr>
            <w:tcW w:w="9478" w:type="dxa"/>
            <w:tcBorders>
              <w:top w:val="single" w:sz="4" w:space="0" w:color="auto"/>
              <w:left w:val="single" w:sz="4" w:space="0" w:color="auto"/>
              <w:bottom w:val="single" w:sz="4" w:space="0" w:color="auto"/>
              <w:right w:val="single" w:sz="4" w:space="0" w:color="auto"/>
            </w:tcBorders>
          </w:tcPr>
          <w:p w14:paraId="7DC8F8E6" w14:textId="5C347C80" w:rsidR="000D6404" w:rsidRPr="00AD3ECC" w:rsidRDefault="000D6404" w:rsidP="0086532C">
            <w:pPr>
              <w:pStyle w:val="Tekstkomentarza"/>
            </w:pPr>
            <w:r>
              <w:lastRenderedPageBreak/>
              <w:t>Status of the person making the Report (please tick by ‘x’ the appropriate box):</w:t>
            </w:r>
          </w:p>
          <w:p w14:paraId="2201869E" w14:textId="53681FCD" w:rsidR="000D6404" w:rsidRPr="00AD3ECC" w:rsidRDefault="0048603B" w:rsidP="0086532C">
            <w:pPr>
              <w:pStyle w:val="Tekstkomentarza"/>
            </w:pPr>
            <w:r>
              <w:rPr>
                <w:rFonts w:ascii="Arial" w:hAnsi="Arial"/>
                <w:sz w:val="32"/>
              </w:rPr>
              <w:t>□</w:t>
            </w:r>
            <w:r>
              <w:t xml:space="preserve"> worker,</w:t>
            </w:r>
          </w:p>
          <w:p w14:paraId="2F962701" w14:textId="679D9775" w:rsidR="000D6404" w:rsidRPr="00AD3ECC" w:rsidRDefault="0048603B" w:rsidP="0086532C">
            <w:pPr>
              <w:pStyle w:val="Tekstkomentarza"/>
            </w:pPr>
            <w:r>
              <w:rPr>
                <w:rFonts w:ascii="Arial" w:hAnsi="Arial"/>
                <w:sz w:val="32"/>
              </w:rPr>
              <w:t>□</w:t>
            </w:r>
            <w:r>
              <w:t xml:space="preserve"> former worker,</w:t>
            </w:r>
          </w:p>
          <w:p w14:paraId="2E630F68" w14:textId="56F12798" w:rsidR="000D6404" w:rsidRPr="00AD3ECC" w:rsidRDefault="0048603B" w:rsidP="0086532C">
            <w:pPr>
              <w:pStyle w:val="Tekstkomentarza"/>
            </w:pPr>
            <w:r>
              <w:rPr>
                <w:rFonts w:ascii="Arial" w:hAnsi="Arial"/>
                <w:sz w:val="32"/>
              </w:rPr>
              <w:t>□</w:t>
            </w:r>
            <w:r>
              <w:t xml:space="preserve"> job applicant,</w:t>
            </w:r>
          </w:p>
          <w:p w14:paraId="68576744" w14:textId="3D30F91E" w:rsidR="000D6404" w:rsidRPr="00AD3ECC" w:rsidRDefault="0048603B" w:rsidP="004B0A54">
            <w:pPr>
              <w:pStyle w:val="Tekstkomentarza"/>
            </w:pPr>
            <w:r>
              <w:rPr>
                <w:rFonts w:ascii="Arial" w:hAnsi="Arial"/>
                <w:sz w:val="32"/>
              </w:rPr>
              <w:t>□</w:t>
            </w:r>
            <w:r>
              <w:t xml:space="preserve"> person performing work on the basis other than an employment relationship, including those based on a civil law contract, in particular a contract of mandate, contract for specific work, contract,</w:t>
            </w:r>
          </w:p>
          <w:p w14:paraId="7C217863" w14:textId="38DD12FE" w:rsidR="000D6404" w:rsidRPr="00AD3ECC" w:rsidRDefault="0048603B" w:rsidP="0086532C">
            <w:pPr>
              <w:pStyle w:val="Tekstkomentarza"/>
            </w:pPr>
            <w:r>
              <w:rPr>
                <w:rFonts w:ascii="Arial" w:hAnsi="Arial"/>
                <w:sz w:val="32"/>
              </w:rPr>
              <w:t>□</w:t>
            </w:r>
            <w:r>
              <w:t xml:space="preserve"> entrepreneur conducting business activity,</w:t>
            </w:r>
          </w:p>
          <w:p w14:paraId="2B146241" w14:textId="512FD2FE" w:rsidR="000D6404" w:rsidRPr="00AD3ECC" w:rsidRDefault="0048603B" w:rsidP="0086532C">
            <w:pPr>
              <w:pStyle w:val="Tekstkomentarza"/>
            </w:pPr>
            <w:r>
              <w:rPr>
                <w:rFonts w:ascii="Arial" w:hAnsi="Arial"/>
                <w:sz w:val="32"/>
              </w:rPr>
              <w:t>□</w:t>
            </w:r>
            <w:r>
              <w:t xml:space="preserve"> trainee/intern,</w:t>
            </w:r>
          </w:p>
          <w:p w14:paraId="480A2DDB" w14:textId="449D3CD2" w:rsidR="000D6404" w:rsidRPr="00AD3ECC" w:rsidRDefault="0048603B" w:rsidP="0086532C">
            <w:pPr>
              <w:pStyle w:val="Tekstkomentarza"/>
            </w:pPr>
            <w:r>
              <w:rPr>
                <w:rFonts w:ascii="Arial" w:hAnsi="Arial"/>
                <w:sz w:val="32"/>
              </w:rPr>
              <w:t>□</w:t>
            </w:r>
            <w:r>
              <w:t xml:space="preserve"> apprentice,</w:t>
            </w:r>
          </w:p>
          <w:p w14:paraId="498E0705" w14:textId="47D28141" w:rsidR="000D6404" w:rsidRPr="00AD3ECC" w:rsidRDefault="0048603B" w:rsidP="0086532C">
            <w:pPr>
              <w:pStyle w:val="Tekstkomentarza"/>
            </w:pPr>
            <w:r>
              <w:rPr>
                <w:rFonts w:ascii="Arial" w:hAnsi="Arial"/>
                <w:sz w:val="32"/>
              </w:rPr>
              <w:t>□</w:t>
            </w:r>
            <w:r>
              <w:t xml:space="preserve"> volunteer,</w:t>
            </w:r>
          </w:p>
          <w:p w14:paraId="494FC922" w14:textId="5949F76C" w:rsidR="000D6404" w:rsidRPr="00AD3ECC" w:rsidRDefault="0048603B" w:rsidP="0086532C">
            <w:pPr>
              <w:pStyle w:val="Tekstkomentarza"/>
            </w:pPr>
            <w:r>
              <w:rPr>
                <w:rFonts w:ascii="Arial" w:hAnsi="Arial"/>
                <w:sz w:val="32"/>
              </w:rPr>
              <w:t>□</w:t>
            </w:r>
            <w:r>
              <w:t xml:space="preserve"> person performing work under the supervision and management of a contractor, subcontractor or supplier, including under a civil law contract: contractor's, subcontractor's or supplier's company,</w:t>
            </w:r>
          </w:p>
          <w:p w14:paraId="2B3A65DE" w14:textId="061D6B70" w:rsidR="000D6404" w:rsidRPr="00AD3ECC" w:rsidRDefault="0048603B" w:rsidP="0086532C">
            <w:pPr>
              <w:pStyle w:val="Tekstkomentarza"/>
            </w:pPr>
            <w:r>
              <w:rPr>
                <w:rFonts w:ascii="Arial" w:hAnsi="Arial"/>
                <w:sz w:val="32"/>
              </w:rPr>
              <w:t>□</w:t>
            </w:r>
            <w:r>
              <w:t xml:space="preserve"> other – specify ………………………………………………………………………..…………………………………………</w:t>
            </w:r>
          </w:p>
        </w:tc>
      </w:tr>
      <w:tr w:rsidR="00F84020" w:rsidRPr="00AD3ECC" w14:paraId="1AA5C666" w14:textId="77777777" w:rsidTr="0086532C">
        <w:trPr>
          <w:trHeight w:val="124"/>
        </w:trPr>
        <w:tc>
          <w:tcPr>
            <w:tcW w:w="9478" w:type="dxa"/>
            <w:tcBorders>
              <w:top w:val="single" w:sz="4" w:space="0" w:color="auto"/>
              <w:left w:val="single" w:sz="4" w:space="0" w:color="auto"/>
              <w:bottom w:val="single" w:sz="4" w:space="0" w:color="auto"/>
              <w:right w:val="single" w:sz="4" w:space="0" w:color="auto"/>
            </w:tcBorders>
          </w:tcPr>
          <w:p w14:paraId="24B3C6C1" w14:textId="77777777" w:rsidR="00F84020" w:rsidRPr="00AD3ECC" w:rsidRDefault="00F84020" w:rsidP="0086532C">
            <w:pPr>
              <w:rPr>
                <w:b/>
                <w:bCs w:val="0"/>
              </w:rPr>
            </w:pPr>
            <w:r>
              <w:rPr>
                <w:b/>
              </w:rPr>
              <w:t>CONTENT OF THE REPORT</w:t>
            </w:r>
          </w:p>
          <w:p w14:paraId="1FDCA6EB" w14:textId="40B66D94" w:rsidR="00F84020" w:rsidRPr="00AD3ECC" w:rsidRDefault="00F84020" w:rsidP="0086532C">
            <w:r>
              <w:t>Please give the following information:</w:t>
            </w:r>
          </w:p>
          <w:p w14:paraId="6EFC4B50" w14:textId="4C5B9BF9" w:rsidR="00F84020" w:rsidRPr="00AD3ECC" w:rsidRDefault="00F84020" w:rsidP="0046243E">
            <w:pPr>
              <w:pStyle w:val="Akapitzlist"/>
              <w:numPr>
                <w:ilvl w:val="0"/>
                <w:numId w:val="3"/>
              </w:numPr>
              <w:rPr>
                <w:szCs w:val="20"/>
              </w:rPr>
            </w:pPr>
            <w:r>
              <w:t xml:space="preserve">Provide details of the person(s) who committed the irregularities, contributed to their occurrence or whose continued, uninterrupted actions may lead to their occurrence: </w:t>
            </w:r>
          </w:p>
          <w:tbl>
            <w:tblPr>
              <w:tblStyle w:val="Tabela-Siatka"/>
              <w:tblW w:w="0" w:type="auto"/>
              <w:tblInd w:w="451" w:type="dxa"/>
              <w:tblLook w:val="04A0" w:firstRow="1" w:lastRow="0" w:firstColumn="1" w:lastColumn="0" w:noHBand="0" w:noVBand="1"/>
            </w:tblPr>
            <w:tblGrid>
              <w:gridCol w:w="3662"/>
              <w:gridCol w:w="4767"/>
            </w:tblGrid>
            <w:tr w:rsidR="00F84020" w:rsidRPr="00AD3ECC" w14:paraId="015E69A1" w14:textId="77777777" w:rsidTr="0086532C">
              <w:tc>
                <w:tcPr>
                  <w:tcW w:w="3662" w:type="dxa"/>
                </w:tcPr>
                <w:p w14:paraId="5FE23EA0" w14:textId="77777777" w:rsidR="00F84020" w:rsidRPr="00AD3ECC" w:rsidRDefault="00F84020" w:rsidP="0086532C">
                  <w:r>
                    <w:t>Full name</w:t>
                  </w:r>
                </w:p>
              </w:tc>
              <w:tc>
                <w:tcPr>
                  <w:tcW w:w="4767" w:type="dxa"/>
                </w:tcPr>
                <w:p w14:paraId="05895A6B" w14:textId="77777777" w:rsidR="00F84020" w:rsidRPr="00AD3ECC" w:rsidRDefault="00F84020" w:rsidP="0086532C">
                  <w:r>
                    <w:t>Place of employment:</w:t>
                  </w:r>
                </w:p>
              </w:tc>
            </w:tr>
            <w:tr w:rsidR="00F84020" w:rsidRPr="00AD3ECC" w14:paraId="72CE3A10" w14:textId="77777777" w:rsidTr="0086532C">
              <w:tc>
                <w:tcPr>
                  <w:tcW w:w="3662" w:type="dxa"/>
                </w:tcPr>
                <w:p w14:paraId="1E070627" w14:textId="77777777" w:rsidR="00F84020" w:rsidRPr="00AD3ECC" w:rsidRDefault="00F84020" w:rsidP="0086532C"/>
              </w:tc>
              <w:tc>
                <w:tcPr>
                  <w:tcW w:w="4767" w:type="dxa"/>
                </w:tcPr>
                <w:p w14:paraId="0E83D6A5" w14:textId="77777777" w:rsidR="00F84020" w:rsidRPr="00AD3ECC" w:rsidRDefault="00F84020" w:rsidP="0086532C"/>
              </w:tc>
            </w:tr>
            <w:tr w:rsidR="00F84020" w:rsidRPr="00AD3ECC" w14:paraId="38195C58" w14:textId="77777777" w:rsidTr="0086532C">
              <w:tc>
                <w:tcPr>
                  <w:tcW w:w="3662" w:type="dxa"/>
                </w:tcPr>
                <w:p w14:paraId="6C967042" w14:textId="77777777" w:rsidR="00F84020" w:rsidRPr="00AD3ECC" w:rsidRDefault="00F84020" w:rsidP="0086532C"/>
              </w:tc>
              <w:tc>
                <w:tcPr>
                  <w:tcW w:w="4767" w:type="dxa"/>
                </w:tcPr>
                <w:p w14:paraId="625D808C" w14:textId="77777777" w:rsidR="00F84020" w:rsidRPr="00AD3ECC" w:rsidRDefault="00F84020" w:rsidP="0086532C"/>
              </w:tc>
            </w:tr>
            <w:tr w:rsidR="00F84020" w:rsidRPr="00AD3ECC" w14:paraId="3CC8AFC7" w14:textId="77777777" w:rsidTr="0086532C">
              <w:tc>
                <w:tcPr>
                  <w:tcW w:w="3662" w:type="dxa"/>
                </w:tcPr>
                <w:p w14:paraId="3FF85B82" w14:textId="77777777" w:rsidR="00F84020" w:rsidRPr="00AD3ECC" w:rsidRDefault="00F84020" w:rsidP="0086532C"/>
              </w:tc>
              <w:tc>
                <w:tcPr>
                  <w:tcW w:w="4767" w:type="dxa"/>
                </w:tcPr>
                <w:p w14:paraId="35DB6544" w14:textId="77777777" w:rsidR="00F84020" w:rsidRPr="00AD3ECC" w:rsidRDefault="00F84020" w:rsidP="0086532C"/>
              </w:tc>
            </w:tr>
            <w:tr w:rsidR="00F84020" w:rsidRPr="00AD3ECC" w14:paraId="6A614D7A" w14:textId="77777777" w:rsidTr="0086532C">
              <w:tc>
                <w:tcPr>
                  <w:tcW w:w="3662" w:type="dxa"/>
                </w:tcPr>
                <w:p w14:paraId="7A0C4978" w14:textId="77777777" w:rsidR="00F84020" w:rsidRPr="00AD3ECC" w:rsidRDefault="00F84020" w:rsidP="0086532C"/>
              </w:tc>
              <w:tc>
                <w:tcPr>
                  <w:tcW w:w="4767" w:type="dxa"/>
                </w:tcPr>
                <w:p w14:paraId="446B7B2D" w14:textId="77777777" w:rsidR="00F84020" w:rsidRPr="00AD3ECC" w:rsidRDefault="00F84020" w:rsidP="0086532C"/>
              </w:tc>
            </w:tr>
            <w:tr w:rsidR="00F84020" w:rsidRPr="00AD3ECC" w14:paraId="6B4B7091" w14:textId="77777777" w:rsidTr="0086532C">
              <w:tc>
                <w:tcPr>
                  <w:tcW w:w="3662" w:type="dxa"/>
                </w:tcPr>
                <w:p w14:paraId="31E6433F" w14:textId="77777777" w:rsidR="00F84020" w:rsidRPr="00AD3ECC" w:rsidRDefault="00F84020" w:rsidP="0086532C"/>
              </w:tc>
              <w:tc>
                <w:tcPr>
                  <w:tcW w:w="4767" w:type="dxa"/>
                </w:tcPr>
                <w:p w14:paraId="69AEA060" w14:textId="77777777" w:rsidR="00F84020" w:rsidRPr="00AD3ECC" w:rsidRDefault="00F84020" w:rsidP="0086532C"/>
              </w:tc>
            </w:tr>
          </w:tbl>
          <w:p w14:paraId="482A67E1" w14:textId="77777777" w:rsidR="00F84020" w:rsidRPr="00AD3ECC" w:rsidRDefault="00F84020" w:rsidP="0086532C"/>
          <w:p w14:paraId="1DE010A9" w14:textId="1AD1CE0A" w:rsidR="00F84020" w:rsidRPr="00AD3ECC" w:rsidRDefault="00F84020" w:rsidP="0046243E">
            <w:pPr>
              <w:pStyle w:val="Akapitzlist"/>
              <w:numPr>
                <w:ilvl w:val="0"/>
                <w:numId w:val="3"/>
              </w:numPr>
              <w:rPr>
                <w:szCs w:val="20"/>
              </w:rPr>
            </w:pPr>
            <w:r>
              <w:t>Provide details of persons who are victims of the irregularities that are the subject of your report or who may become victims (have suffered or may suffer financial, material, psychological and/or physical losses):</w:t>
            </w:r>
          </w:p>
          <w:tbl>
            <w:tblPr>
              <w:tblStyle w:val="Tabela-Siatka"/>
              <w:tblW w:w="0" w:type="auto"/>
              <w:tblInd w:w="451" w:type="dxa"/>
              <w:tblLook w:val="04A0" w:firstRow="1" w:lastRow="0" w:firstColumn="1" w:lastColumn="0" w:noHBand="0" w:noVBand="1"/>
            </w:tblPr>
            <w:tblGrid>
              <w:gridCol w:w="3793"/>
              <w:gridCol w:w="4636"/>
            </w:tblGrid>
            <w:tr w:rsidR="00F84020" w:rsidRPr="00AD3ECC" w14:paraId="7AC0C0D4" w14:textId="77777777" w:rsidTr="0086532C">
              <w:tc>
                <w:tcPr>
                  <w:tcW w:w="3793" w:type="dxa"/>
                </w:tcPr>
                <w:p w14:paraId="37EBE8C7" w14:textId="77777777" w:rsidR="00F84020" w:rsidRPr="00AD3ECC" w:rsidRDefault="00F84020" w:rsidP="0086532C">
                  <w:r>
                    <w:t>Full name</w:t>
                  </w:r>
                </w:p>
              </w:tc>
              <w:tc>
                <w:tcPr>
                  <w:tcW w:w="4636" w:type="dxa"/>
                </w:tcPr>
                <w:p w14:paraId="704DFBC6" w14:textId="77777777" w:rsidR="00F84020" w:rsidRPr="00AD3ECC" w:rsidRDefault="00F84020" w:rsidP="0086532C">
                  <w:r>
                    <w:t>Place of employment</w:t>
                  </w:r>
                </w:p>
              </w:tc>
            </w:tr>
            <w:tr w:rsidR="00F84020" w:rsidRPr="00AD3ECC" w14:paraId="168AFBF7" w14:textId="77777777" w:rsidTr="0086532C">
              <w:tc>
                <w:tcPr>
                  <w:tcW w:w="3793" w:type="dxa"/>
                </w:tcPr>
                <w:p w14:paraId="4FB2866B" w14:textId="77777777" w:rsidR="00F84020" w:rsidRPr="00AD3ECC" w:rsidRDefault="00F84020" w:rsidP="0086532C"/>
              </w:tc>
              <w:tc>
                <w:tcPr>
                  <w:tcW w:w="4636" w:type="dxa"/>
                </w:tcPr>
                <w:p w14:paraId="0EDB8506" w14:textId="77777777" w:rsidR="00F84020" w:rsidRPr="00AD3ECC" w:rsidRDefault="00F84020" w:rsidP="0086532C"/>
              </w:tc>
            </w:tr>
            <w:tr w:rsidR="00F84020" w:rsidRPr="00AD3ECC" w14:paraId="108B6FB9" w14:textId="77777777" w:rsidTr="0086532C">
              <w:tc>
                <w:tcPr>
                  <w:tcW w:w="3793" w:type="dxa"/>
                </w:tcPr>
                <w:p w14:paraId="6CF102D4" w14:textId="77777777" w:rsidR="00F84020" w:rsidRPr="00AD3ECC" w:rsidRDefault="00F84020" w:rsidP="0086532C"/>
              </w:tc>
              <w:tc>
                <w:tcPr>
                  <w:tcW w:w="4636" w:type="dxa"/>
                </w:tcPr>
                <w:p w14:paraId="75065F85" w14:textId="77777777" w:rsidR="00F84020" w:rsidRPr="00AD3ECC" w:rsidRDefault="00F84020" w:rsidP="0086532C"/>
              </w:tc>
            </w:tr>
            <w:tr w:rsidR="00F84020" w:rsidRPr="00AD3ECC" w14:paraId="0554403A" w14:textId="77777777" w:rsidTr="0086532C">
              <w:tc>
                <w:tcPr>
                  <w:tcW w:w="3793" w:type="dxa"/>
                </w:tcPr>
                <w:p w14:paraId="5049D02B" w14:textId="77777777" w:rsidR="00F84020" w:rsidRPr="00AD3ECC" w:rsidRDefault="00F84020" w:rsidP="0086532C"/>
              </w:tc>
              <w:tc>
                <w:tcPr>
                  <w:tcW w:w="4636" w:type="dxa"/>
                </w:tcPr>
                <w:p w14:paraId="3AC3D1CC" w14:textId="77777777" w:rsidR="00F84020" w:rsidRPr="00AD3ECC" w:rsidRDefault="00F84020" w:rsidP="0086532C"/>
              </w:tc>
            </w:tr>
            <w:tr w:rsidR="00F84020" w:rsidRPr="00AD3ECC" w14:paraId="4A3A6D6F" w14:textId="77777777" w:rsidTr="0086532C">
              <w:tc>
                <w:tcPr>
                  <w:tcW w:w="3793" w:type="dxa"/>
                </w:tcPr>
                <w:p w14:paraId="0C309EA1" w14:textId="77777777" w:rsidR="00F84020" w:rsidRPr="00AD3ECC" w:rsidRDefault="00F84020" w:rsidP="0086532C"/>
              </w:tc>
              <w:tc>
                <w:tcPr>
                  <w:tcW w:w="4636" w:type="dxa"/>
                </w:tcPr>
                <w:p w14:paraId="40424AC0" w14:textId="77777777" w:rsidR="00F84020" w:rsidRPr="00AD3ECC" w:rsidRDefault="00F84020" w:rsidP="0086532C"/>
              </w:tc>
            </w:tr>
            <w:tr w:rsidR="00F84020" w:rsidRPr="00AD3ECC" w14:paraId="6AD47501" w14:textId="77777777" w:rsidTr="0086532C">
              <w:tc>
                <w:tcPr>
                  <w:tcW w:w="3793" w:type="dxa"/>
                </w:tcPr>
                <w:p w14:paraId="3E851251" w14:textId="77777777" w:rsidR="00F84020" w:rsidRPr="00AD3ECC" w:rsidRDefault="00F84020" w:rsidP="0086532C"/>
              </w:tc>
              <w:tc>
                <w:tcPr>
                  <w:tcW w:w="4636" w:type="dxa"/>
                </w:tcPr>
                <w:p w14:paraId="121C82D9" w14:textId="77777777" w:rsidR="00F84020" w:rsidRPr="00AD3ECC" w:rsidRDefault="00F84020" w:rsidP="0086532C"/>
              </w:tc>
            </w:tr>
          </w:tbl>
          <w:p w14:paraId="73998DB6" w14:textId="77777777" w:rsidR="00F84020" w:rsidRPr="00AD3ECC" w:rsidRDefault="00F84020" w:rsidP="0086532C"/>
          <w:p w14:paraId="64DE841D" w14:textId="67D29911" w:rsidR="00F84020" w:rsidRPr="00AD3ECC" w:rsidRDefault="00F84020" w:rsidP="0046243E">
            <w:pPr>
              <w:pStyle w:val="Akapitzlist"/>
              <w:numPr>
                <w:ilvl w:val="0"/>
                <w:numId w:val="3"/>
              </w:numPr>
              <w:rPr>
                <w:szCs w:val="20"/>
              </w:rPr>
            </w:pPr>
            <w:r>
              <w:t>State, if you know, what the relationship is between the persons indicated above (formal relationships – professional and/or informal relationships – family, social):</w:t>
            </w:r>
          </w:p>
          <w:p w14:paraId="477F3642" w14:textId="0FC3FE82" w:rsidR="00F84020" w:rsidRPr="00AD3ECC" w:rsidRDefault="000D6404" w:rsidP="0086532C">
            <w:r>
              <w:t>…………………………………………………………………………………………………………………………………………………….</w:t>
            </w:r>
          </w:p>
          <w:p w14:paraId="3E8FFF42" w14:textId="766A214C" w:rsidR="000D6404" w:rsidRPr="00AD3ECC" w:rsidRDefault="000D6404" w:rsidP="0086532C">
            <w:r>
              <w:t>…………………………………………………………………………………………………………………………………………………….</w:t>
            </w:r>
          </w:p>
          <w:p w14:paraId="2918D6B7" w14:textId="608C4B61" w:rsidR="000D6404" w:rsidRPr="00AD3ECC" w:rsidRDefault="000D6404" w:rsidP="0086532C">
            <w:r>
              <w:t>…………………………………………………………………………………………………………………………………………………….</w:t>
            </w:r>
          </w:p>
          <w:p w14:paraId="2BEE3F12" w14:textId="77777777" w:rsidR="00F84020" w:rsidRPr="00AD3ECC" w:rsidRDefault="00F84020" w:rsidP="0046243E">
            <w:pPr>
              <w:pStyle w:val="Akapitzlist"/>
              <w:numPr>
                <w:ilvl w:val="0"/>
                <w:numId w:val="3"/>
              </w:numPr>
              <w:rPr>
                <w:szCs w:val="20"/>
              </w:rPr>
            </w:pPr>
            <w:r>
              <w:t>Describe the irregularities that are the subject of your report. Provide the circumstances of their occurrence, according to your knowledge. Below are some helpful questions. A more detailed description will enable a faster assessment of the reported irregularity. We are recommending to answer all questions in the chronological order indicated by us:</w:t>
            </w:r>
          </w:p>
          <w:p w14:paraId="20C87D2C" w14:textId="77777777" w:rsidR="00F84020" w:rsidRPr="00AD3ECC" w:rsidRDefault="00F84020" w:rsidP="0046243E">
            <w:pPr>
              <w:pStyle w:val="Akapitzlist"/>
              <w:numPr>
                <w:ilvl w:val="0"/>
                <w:numId w:val="4"/>
              </w:numPr>
              <w:rPr>
                <w:szCs w:val="20"/>
              </w:rPr>
            </w:pPr>
            <w:r>
              <w:t>What did actually happen?</w:t>
            </w:r>
          </w:p>
          <w:p w14:paraId="4676CDF0" w14:textId="77777777" w:rsidR="00F84020" w:rsidRPr="00AD3ECC" w:rsidRDefault="00F84020" w:rsidP="0046243E">
            <w:pPr>
              <w:pStyle w:val="Akapitzlist"/>
              <w:numPr>
                <w:ilvl w:val="0"/>
                <w:numId w:val="4"/>
              </w:numPr>
              <w:rPr>
                <w:szCs w:val="20"/>
              </w:rPr>
            </w:pPr>
            <w:r>
              <w:t>Where and when did the irregularities occur?</w:t>
            </w:r>
          </w:p>
          <w:p w14:paraId="56C73891" w14:textId="77777777" w:rsidR="00F84020" w:rsidRPr="00AD3ECC" w:rsidRDefault="00F84020" w:rsidP="0046243E">
            <w:pPr>
              <w:pStyle w:val="Akapitzlist"/>
              <w:numPr>
                <w:ilvl w:val="0"/>
                <w:numId w:val="4"/>
              </w:numPr>
              <w:rPr>
                <w:szCs w:val="20"/>
              </w:rPr>
            </w:pPr>
            <w:r>
              <w:t>How did the irregularity arise, what was the sequence of events (in chronological order)?</w:t>
            </w:r>
          </w:p>
          <w:p w14:paraId="33D1FE59" w14:textId="77777777" w:rsidR="00F84020" w:rsidRPr="00AD3ECC" w:rsidRDefault="00F84020" w:rsidP="0046243E">
            <w:pPr>
              <w:pStyle w:val="Akapitzlist"/>
              <w:numPr>
                <w:ilvl w:val="0"/>
                <w:numId w:val="4"/>
              </w:numPr>
              <w:rPr>
                <w:szCs w:val="20"/>
              </w:rPr>
            </w:pPr>
            <w:r>
              <w:t>Why do you think the irregularity arose, what could have been the motives of the people involved in the case?</w:t>
            </w:r>
          </w:p>
          <w:p w14:paraId="1A1776D9" w14:textId="77777777" w:rsidR="00F84020" w:rsidRPr="00AD3ECC" w:rsidRDefault="00F84020" w:rsidP="0046243E">
            <w:pPr>
              <w:pStyle w:val="Akapitzlist"/>
              <w:numPr>
                <w:ilvl w:val="0"/>
                <w:numId w:val="4"/>
              </w:numPr>
              <w:rPr>
                <w:szCs w:val="20"/>
              </w:rPr>
            </w:pPr>
            <w:r>
              <w:t>What effects, in your opinion, did the irregularities described in the report cause or may cause?</w:t>
            </w:r>
          </w:p>
          <w:p w14:paraId="1137267F" w14:textId="77777777" w:rsidR="00F84020" w:rsidRPr="00AD3ECC" w:rsidRDefault="00F84020" w:rsidP="0046243E">
            <w:pPr>
              <w:pStyle w:val="Akapitzlist"/>
              <w:numPr>
                <w:ilvl w:val="0"/>
                <w:numId w:val="4"/>
              </w:numPr>
              <w:rPr>
                <w:szCs w:val="20"/>
              </w:rPr>
            </w:pPr>
            <w:r>
              <w:t xml:space="preserve">Did you take any action to eliminate the irregularities before making the report? </w:t>
            </w:r>
          </w:p>
          <w:p w14:paraId="0BCC8A71" w14:textId="77777777" w:rsidR="00F84020" w:rsidRPr="00AD3ECC" w:rsidRDefault="00F84020" w:rsidP="0046243E">
            <w:pPr>
              <w:pStyle w:val="Akapitzlist"/>
              <w:numPr>
                <w:ilvl w:val="0"/>
                <w:numId w:val="4"/>
              </w:numPr>
              <w:rPr>
                <w:szCs w:val="20"/>
              </w:rPr>
            </w:pPr>
            <w:r>
              <w:t>Who is the perpetrator of the act? Who is the victim of the incident?</w:t>
            </w:r>
          </w:p>
          <w:p w14:paraId="40E7BC49" w14:textId="77777777" w:rsidR="00F84020" w:rsidRPr="00AD3ECC" w:rsidRDefault="00F84020" w:rsidP="0046243E">
            <w:pPr>
              <w:pStyle w:val="Akapitzlist"/>
              <w:numPr>
                <w:ilvl w:val="0"/>
                <w:numId w:val="4"/>
              </w:numPr>
              <w:rPr>
                <w:szCs w:val="20"/>
              </w:rPr>
            </w:pPr>
            <w:r>
              <w:t xml:space="preserve">Who might have benefited from this incident? </w:t>
            </w:r>
          </w:p>
          <w:p w14:paraId="152F0EF2" w14:textId="77777777" w:rsidR="00F84020" w:rsidRPr="00AD3ECC" w:rsidRDefault="00F84020" w:rsidP="0046243E">
            <w:pPr>
              <w:pStyle w:val="Akapitzlist"/>
              <w:numPr>
                <w:ilvl w:val="0"/>
                <w:numId w:val="4"/>
              </w:numPr>
              <w:rPr>
                <w:szCs w:val="20"/>
              </w:rPr>
            </w:pPr>
            <w:r>
              <w:t xml:space="preserve">Could this incident have caused any damage/harm? </w:t>
            </w:r>
          </w:p>
          <w:p w14:paraId="495D05E6" w14:textId="77777777" w:rsidR="00F84020" w:rsidRPr="00AD3ECC" w:rsidRDefault="00F84020" w:rsidP="0046243E">
            <w:pPr>
              <w:pStyle w:val="Akapitzlist"/>
              <w:numPr>
                <w:ilvl w:val="0"/>
                <w:numId w:val="4"/>
              </w:numPr>
              <w:rPr>
                <w:szCs w:val="20"/>
              </w:rPr>
            </w:pPr>
            <w:r>
              <w:t xml:space="preserve">What is the connection (context) between the reported irregularity and your work? </w:t>
            </w:r>
          </w:p>
          <w:p w14:paraId="00E18754" w14:textId="0EE82385" w:rsidR="00F84020" w:rsidRPr="00AD3ECC" w:rsidRDefault="00F84020" w:rsidP="0046243E">
            <w:pPr>
              <w:pStyle w:val="Akapitzlist"/>
              <w:numPr>
                <w:ilvl w:val="0"/>
                <w:numId w:val="4"/>
              </w:numPr>
              <w:rPr>
                <w:szCs w:val="20"/>
              </w:rPr>
            </w:pPr>
            <w:r>
              <w:t xml:space="preserve">Have you previously reported the irregularity to your supervisor/employer? If so, what was the outcome? </w:t>
            </w:r>
          </w:p>
          <w:p w14:paraId="0CF1FED0" w14:textId="4BFCB276" w:rsidR="000D6404" w:rsidRPr="00AD3ECC" w:rsidRDefault="000D6404" w:rsidP="0086532C">
            <w:r>
              <w:t>…………………………………………………………………………………………………………………………………………………….</w:t>
            </w:r>
          </w:p>
          <w:p w14:paraId="3AC93B5E" w14:textId="385726B8" w:rsidR="000D6404" w:rsidRPr="00AD3ECC" w:rsidRDefault="000D6404" w:rsidP="0086532C">
            <w:r>
              <w:t>…………………………………………………………………………………………………………………………………………………….</w:t>
            </w:r>
          </w:p>
          <w:p w14:paraId="54F75BC4" w14:textId="0275301F" w:rsidR="000D6404" w:rsidRPr="00AD3ECC" w:rsidRDefault="000D6404" w:rsidP="0086532C">
            <w:r>
              <w:t>…………………………………………………………………………………………………………………………………………………….</w:t>
            </w:r>
          </w:p>
          <w:p w14:paraId="6D16C3E5" w14:textId="64C3CF7B" w:rsidR="000D6404" w:rsidRPr="00AD3ECC" w:rsidRDefault="000D6404" w:rsidP="0086532C">
            <w:r>
              <w:t>…………………………………………………………………………………………………………………………………………………….</w:t>
            </w:r>
          </w:p>
          <w:p w14:paraId="1D66161D" w14:textId="46FB80B2" w:rsidR="000D6404" w:rsidRPr="00AD3ECC" w:rsidRDefault="000D6404" w:rsidP="0086532C">
            <w:r>
              <w:t>…………………………………………………………………………………………………………………………………………………….</w:t>
            </w:r>
          </w:p>
          <w:p w14:paraId="706B1BFE" w14:textId="3985036F" w:rsidR="000D6404" w:rsidRPr="00AD3ECC" w:rsidRDefault="000D6404" w:rsidP="0086532C">
            <w:r>
              <w:t>…………………………………………………………………………………………………………………………………………………….</w:t>
            </w:r>
          </w:p>
          <w:p w14:paraId="52DF0772" w14:textId="3EE179D6" w:rsidR="000D6404" w:rsidRPr="00AD3ECC" w:rsidRDefault="000D6404" w:rsidP="0086532C">
            <w:r>
              <w:t>…………………………………………………………………………………………………………………………………………………….</w:t>
            </w:r>
          </w:p>
          <w:p w14:paraId="512D8052" w14:textId="6B0BEFA4" w:rsidR="000D6404" w:rsidRPr="00AD3ECC" w:rsidRDefault="000D6404" w:rsidP="0086532C">
            <w:r>
              <w:t>…………………………………………………………………………………………………………………………………………………….</w:t>
            </w:r>
          </w:p>
          <w:p w14:paraId="59A0B6CF" w14:textId="43F54BCE" w:rsidR="000D6404" w:rsidRPr="00AD3ECC" w:rsidRDefault="000D6404" w:rsidP="0086532C">
            <w:r>
              <w:t>…………………………………………………………………………………………………………………………………………………….</w:t>
            </w:r>
          </w:p>
          <w:p w14:paraId="6BA6DBAE" w14:textId="346A06F6" w:rsidR="000D6404" w:rsidRPr="00AD3ECC" w:rsidRDefault="000D6404" w:rsidP="0086532C">
            <w:r>
              <w:t>…………………………………………………………………………………………………………………………………………………….</w:t>
            </w:r>
          </w:p>
          <w:p w14:paraId="7B468C9B" w14:textId="6299DF23" w:rsidR="000D6404" w:rsidRPr="00AD3ECC" w:rsidRDefault="000D6404" w:rsidP="0086532C">
            <w:r>
              <w:t>…………………………………………………………………………………………………………………………………………………….</w:t>
            </w:r>
          </w:p>
          <w:p w14:paraId="79285084" w14:textId="0B7EC8A6" w:rsidR="00F84020" w:rsidRPr="00AD3ECC" w:rsidRDefault="000D6404" w:rsidP="0086532C">
            <w:r>
              <w:t>…………………………………………………………………………………………………………………………………………………….</w:t>
            </w:r>
          </w:p>
        </w:tc>
      </w:tr>
      <w:tr w:rsidR="00F84020" w:rsidRPr="00AD3ECC" w14:paraId="53F2F2E9" w14:textId="77777777" w:rsidTr="0086532C">
        <w:tc>
          <w:tcPr>
            <w:tcW w:w="9478" w:type="dxa"/>
            <w:tcBorders>
              <w:top w:val="single" w:sz="4" w:space="0" w:color="auto"/>
              <w:left w:val="single" w:sz="4" w:space="0" w:color="auto"/>
              <w:bottom w:val="single" w:sz="4" w:space="0" w:color="auto"/>
              <w:right w:val="single" w:sz="4" w:space="0" w:color="auto"/>
            </w:tcBorders>
          </w:tcPr>
          <w:p w14:paraId="64B90700" w14:textId="77777777" w:rsidR="00F84020" w:rsidRPr="00AD3ECC" w:rsidRDefault="00F84020" w:rsidP="0086532C">
            <w:r>
              <w:lastRenderedPageBreak/>
              <w:t>EVIDENCE</w:t>
            </w:r>
          </w:p>
          <w:p w14:paraId="294E83F0" w14:textId="2F026F91" w:rsidR="00F84020" w:rsidRPr="00AD3ECC" w:rsidRDefault="00F84020" w:rsidP="0086532C">
            <w:r>
              <w:lastRenderedPageBreak/>
              <w:t>Please indicate any witnesses, evidence confirming the facts, e.g. documents, if any, and attach them to the report if you have them:</w:t>
            </w:r>
          </w:p>
          <w:p w14:paraId="421FF61A" w14:textId="06252359" w:rsidR="000D6404" w:rsidRPr="00AD3ECC" w:rsidRDefault="000D6404" w:rsidP="0086532C">
            <w:r>
              <w:t>…………………………………………………………………………………………………………………………………………………….</w:t>
            </w:r>
          </w:p>
          <w:p w14:paraId="5F31266D" w14:textId="59C9BD36" w:rsidR="000D6404" w:rsidRPr="00AD3ECC" w:rsidRDefault="000D6404" w:rsidP="0086532C">
            <w:r>
              <w:t>…………………………………………………………………………………………………………………………………………………….</w:t>
            </w:r>
          </w:p>
          <w:p w14:paraId="7B9BFB69" w14:textId="2B6C9D15" w:rsidR="000D6404" w:rsidRPr="00AD3ECC" w:rsidRDefault="000D6404" w:rsidP="0086532C">
            <w:r>
              <w:t>…………………………………………………………………………………………………………………………………………………….</w:t>
            </w:r>
          </w:p>
          <w:p w14:paraId="6E7C66FA" w14:textId="00D2E7A7" w:rsidR="000D6404" w:rsidRPr="00AD3ECC" w:rsidRDefault="000D6404" w:rsidP="0086532C">
            <w:r>
              <w:t>…………………………………………………………………………………………………………………………………………………….</w:t>
            </w:r>
          </w:p>
          <w:p w14:paraId="35878180" w14:textId="360DADE9" w:rsidR="000D6404" w:rsidRPr="00AD3ECC" w:rsidRDefault="000D6404" w:rsidP="0086532C">
            <w:r>
              <w:t>…………………………………………………………………………………………………………………………………………………….</w:t>
            </w:r>
          </w:p>
          <w:p w14:paraId="2A7FEEEE" w14:textId="45D59EFC" w:rsidR="000D6404" w:rsidRPr="00AD3ECC" w:rsidRDefault="000D6404" w:rsidP="0086532C">
            <w:r>
              <w:t>…………………………………………………………………………………………………………………………………………………….</w:t>
            </w:r>
          </w:p>
          <w:p w14:paraId="780EBAD6" w14:textId="2F40F899" w:rsidR="000D6404" w:rsidRPr="00AD3ECC" w:rsidRDefault="000D6404" w:rsidP="0086532C">
            <w:r>
              <w:t>…………………………………………………………………………………………………………………………………………………….</w:t>
            </w:r>
          </w:p>
          <w:p w14:paraId="68229628" w14:textId="6A8DD142" w:rsidR="000D6404" w:rsidRPr="00AD3ECC" w:rsidRDefault="000D6404" w:rsidP="0086532C">
            <w:r>
              <w:t>…………………………………………………………………………………………………………………………………………………….</w:t>
            </w:r>
          </w:p>
          <w:p w14:paraId="24C5D116" w14:textId="3A4F9409" w:rsidR="00F84020" w:rsidRPr="00AD3ECC" w:rsidRDefault="000D6404" w:rsidP="005B0A67">
            <w:r>
              <w:t>…………………………………………………………………………………………………………………………………………………….</w:t>
            </w:r>
          </w:p>
        </w:tc>
      </w:tr>
      <w:tr w:rsidR="00F84020" w:rsidRPr="00954028" w14:paraId="01C93819" w14:textId="77777777" w:rsidTr="0086532C">
        <w:tc>
          <w:tcPr>
            <w:tcW w:w="9478" w:type="dxa"/>
            <w:tcBorders>
              <w:top w:val="single" w:sz="4" w:space="0" w:color="auto"/>
              <w:left w:val="single" w:sz="4" w:space="0" w:color="auto"/>
              <w:bottom w:val="single" w:sz="4" w:space="0" w:color="auto"/>
              <w:right w:val="single" w:sz="4" w:space="0" w:color="auto"/>
            </w:tcBorders>
          </w:tcPr>
          <w:p w14:paraId="2A5DBE25" w14:textId="77777777" w:rsidR="00F84020" w:rsidRPr="00AD3ECC" w:rsidRDefault="00F84020" w:rsidP="0086532C">
            <w:r>
              <w:lastRenderedPageBreak/>
              <w:t>STATEMENT BY THE PERSON REPORTING THE IRREGULARITY</w:t>
            </w:r>
          </w:p>
          <w:p w14:paraId="695461B0" w14:textId="77777777" w:rsidR="00F84020" w:rsidRPr="00AD3ECC" w:rsidRDefault="00F84020" w:rsidP="0086532C">
            <w:r>
              <w:t>I hereby declare that:</w:t>
            </w:r>
          </w:p>
          <w:p w14:paraId="65348B61" w14:textId="26D55C57" w:rsidR="00F84020" w:rsidRPr="00AD3ECC" w:rsidRDefault="00F84020" w:rsidP="0046243E">
            <w:pPr>
              <w:pStyle w:val="Akapitzlist"/>
              <w:numPr>
                <w:ilvl w:val="0"/>
                <w:numId w:val="2"/>
              </w:numPr>
              <w:rPr>
                <w:szCs w:val="20"/>
              </w:rPr>
            </w:pPr>
            <w:r>
              <w:t>in making this report on irregularities, I had reasonable grounds to believe that the information being reported or disclosed to the public was true at the time of reporting or disclosure and that it constituted information about a violation of the law;</w:t>
            </w:r>
          </w:p>
          <w:p w14:paraId="11FE2D40" w14:textId="77777777" w:rsidR="00F84020" w:rsidRPr="00AD3ECC" w:rsidRDefault="00F84020" w:rsidP="0046243E">
            <w:pPr>
              <w:pStyle w:val="Akapitzlist"/>
              <w:numPr>
                <w:ilvl w:val="0"/>
                <w:numId w:val="2"/>
              </w:numPr>
              <w:rPr>
                <w:szCs w:val="20"/>
              </w:rPr>
            </w:pPr>
            <w:r>
              <w:t>all information I have provided is consistent with my knowledge;</w:t>
            </w:r>
          </w:p>
          <w:p w14:paraId="5F1AB2B6" w14:textId="7DDA1CD0" w:rsidR="00F84020" w:rsidRPr="00AD3ECC" w:rsidRDefault="00F84020" w:rsidP="0046243E">
            <w:pPr>
              <w:pStyle w:val="Akapitzlist"/>
              <w:numPr>
                <w:ilvl w:val="0"/>
                <w:numId w:val="2"/>
              </w:numPr>
              <w:rPr>
                <w:szCs w:val="20"/>
              </w:rPr>
            </w:pPr>
            <w:r>
              <w:t>in making this report, I have disclosed all facts and circumstances known to me concerning the subject matter of the report;</w:t>
            </w:r>
          </w:p>
          <w:p w14:paraId="1E46CE61" w14:textId="353D7694" w:rsidR="00F84020" w:rsidRPr="00AD3ECC" w:rsidRDefault="00F84020" w:rsidP="0046243E">
            <w:pPr>
              <w:pStyle w:val="Akapitzlist"/>
              <w:numPr>
                <w:ilvl w:val="0"/>
                <w:numId w:val="2"/>
              </w:numPr>
              <w:rPr>
                <w:szCs w:val="20"/>
              </w:rPr>
            </w:pPr>
            <w:r>
              <w:t>I am familiar with the KGHM Group's ‘</w:t>
            </w:r>
            <w:r>
              <w:rPr>
                <w:i/>
                <w:iCs/>
              </w:rPr>
              <w:t>Procedure for accepting internal reports of legal violations and taking follow-up action in the KGHM Polska Miedź S.A. Group</w:t>
            </w:r>
            <w:r>
              <w:t>.’</w:t>
            </w:r>
          </w:p>
          <w:p w14:paraId="1D68260C" w14:textId="339046D5" w:rsidR="00F84020" w:rsidRPr="00AD3ECC" w:rsidRDefault="00F84020" w:rsidP="0046243E">
            <w:pPr>
              <w:pStyle w:val="Akapitzlist"/>
              <w:numPr>
                <w:ilvl w:val="0"/>
                <w:numId w:val="2"/>
              </w:numPr>
              <w:rPr>
                <w:szCs w:val="20"/>
              </w:rPr>
            </w:pPr>
            <w:r>
              <w:t xml:space="preserve">I am aware of the information obligation regarding the processing of personal data in connection with the report made; </w:t>
            </w:r>
          </w:p>
          <w:p w14:paraId="3F8866C9" w14:textId="40FA292E" w:rsidR="00F84020" w:rsidRPr="00AD3ECC" w:rsidRDefault="00F84020" w:rsidP="0046243E">
            <w:pPr>
              <w:pStyle w:val="Akapitzlist"/>
              <w:numPr>
                <w:ilvl w:val="0"/>
                <w:numId w:val="2"/>
              </w:numPr>
              <w:rPr>
                <w:szCs w:val="20"/>
              </w:rPr>
            </w:pPr>
            <w:r>
              <w:t xml:space="preserve">I am aware of the possible consequences for making a false report of irregularities – possible disciplinary or criminal liability (defamation/slander). </w:t>
            </w:r>
          </w:p>
          <w:p w14:paraId="6EDC1159" w14:textId="77777777" w:rsidR="00F84020" w:rsidRPr="00AD3ECC" w:rsidRDefault="00F84020" w:rsidP="0086532C"/>
          <w:p w14:paraId="0B92657E" w14:textId="77777777" w:rsidR="00F84020" w:rsidRPr="00AD3ECC" w:rsidRDefault="00F84020" w:rsidP="0086532C"/>
          <w:p w14:paraId="0A4C4474" w14:textId="77777777" w:rsidR="00F84020" w:rsidRPr="00AD3ECC" w:rsidRDefault="00F84020" w:rsidP="0086532C"/>
          <w:p w14:paraId="2AEADA07" w14:textId="77777777" w:rsidR="00F84020" w:rsidRPr="00AD3ECC" w:rsidRDefault="00F84020" w:rsidP="0086532C">
            <w:r>
              <w:t>……………………………………………………………………………………………………………..</w:t>
            </w:r>
          </w:p>
          <w:p w14:paraId="0EBB07C0" w14:textId="11FAD9B2" w:rsidR="00F84020" w:rsidRPr="00AD3ECC" w:rsidRDefault="00F84020" w:rsidP="0086532C">
            <w:r>
              <w:t>date and legible signature of the person reporting the irregularity</w:t>
            </w:r>
          </w:p>
          <w:p w14:paraId="382515FC" w14:textId="77777777" w:rsidR="00F84020" w:rsidRPr="00954028" w:rsidRDefault="00F84020" w:rsidP="0086532C">
            <w:r>
              <w:t>(does not apply to anonymous reports)</w:t>
            </w:r>
          </w:p>
        </w:tc>
      </w:tr>
    </w:tbl>
    <w:p w14:paraId="4408A37B" w14:textId="77777777" w:rsidR="00393912" w:rsidRDefault="00393912" w:rsidP="0086532C"/>
    <w:p w14:paraId="482922A0" w14:textId="77777777" w:rsidR="001D1789" w:rsidRDefault="001D1789" w:rsidP="0086532C"/>
    <w:p w14:paraId="636303AD" w14:textId="77777777" w:rsidR="001D1789" w:rsidRDefault="001D1789">
      <w:pPr>
        <w:spacing w:before="0" w:after="160" w:line="259" w:lineRule="auto"/>
        <w:ind w:left="0"/>
        <w:jc w:val="left"/>
      </w:pPr>
      <w:r>
        <w:br w:type="page"/>
      </w:r>
    </w:p>
    <w:p w14:paraId="6BBAB32F" w14:textId="77777777" w:rsidR="001D1789" w:rsidRPr="00954028" w:rsidRDefault="001D1789" w:rsidP="0086532C"/>
    <w:sectPr w:rsidR="001D1789" w:rsidRPr="00954028" w:rsidSect="005B0A67">
      <w:headerReference w:type="default" r:id="rId17"/>
      <w:pgSz w:w="11906" w:h="16838"/>
      <w:pgMar w:top="993" w:right="851" w:bottom="1134" w:left="1134" w:header="425" w:footer="312"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81D1" w14:textId="77777777" w:rsidR="00474678" w:rsidRDefault="00474678" w:rsidP="006A061D">
      <w:r>
        <w:separator/>
      </w:r>
    </w:p>
  </w:endnote>
  <w:endnote w:type="continuationSeparator" w:id="0">
    <w:p w14:paraId="6750AA00" w14:textId="77777777" w:rsidR="00474678" w:rsidRDefault="00474678" w:rsidP="006A061D">
      <w:r>
        <w:continuationSeparator/>
      </w:r>
    </w:p>
  </w:endnote>
  <w:endnote w:type="continuationNotice" w:id="1">
    <w:p w14:paraId="5C8B8EBF" w14:textId="77777777" w:rsidR="00474678" w:rsidRDefault="00474678" w:rsidP="006A0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152491523"/>
      <w:docPartObj>
        <w:docPartGallery w:val="Page Numbers (Bottom of Page)"/>
        <w:docPartUnique/>
      </w:docPartObj>
    </w:sdtPr>
    <w:sdtEndPr>
      <w:rPr>
        <w:sz w:val="6"/>
        <w:szCs w:val="6"/>
      </w:rPr>
    </w:sdtEndPr>
    <w:sdtContent>
      <w:p w14:paraId="5AB98B7C" w14:textId="77777777" w:rsidR="00C93911" w:rsidRPr="002273EE" w:rsidRDefault="00C93911" w:rsidP="002273EE">
        <w:pPr>
          <w:pStyle w:val="Stopka"/>
          <w:jc w:val="right"/>
          <w:rPr>
            <w:rFonts w:eastAsiaTheme="majorEastAsia"/>
            <w:sz w:val="12"/>
            <w:szCs w:val="12"/>
          </w:rPr>
        </w:pPr>
      </w:p>
      <w:tbl>
        <w:tblPr>
          <w:tblStyle w:val="Tabela-Siatka"/>
          <w:tblW w:w="0" w:type="auto"/>
          <w:tblInd w:w="426" w:type="dxa"/>
          <w:tblCellMar>
            <w:top w:w="108" w:type="dxa"/>
            <w:bottom w:w="108" w:type="dxa"/>
          </w:tblCellMar>
          <w:tblLook w:val="04A0" w:firstRow="1" w:lastRow="0" w:firstColumn="1" w:lastColumn="0" w:noHBand="0" w:noVBand="1"/>
        </w:tblPr>
        <w:tblGrid>
          <w:gridCol w:w="9495"/>
        </w:tblGrid>
        <w:tr w:rsidR="00C93911" w14:paraId="5700EC2A" w14:textId="77777777" w:rsidTr="00C93911">
          <w:tc>
            <w:tcPr>
              <w:tcW w:w="9911" w:type="dxa"/>
              <w:tcBorders>
                <w:top w:val="single" w:sz="4" w:space="0" w:color="986A4E"/>
                <w:left w:val="nil"/>
                <w:bottom w:val="nil"/>
                <w:right w:val="nil"/>
              </w:tcBorders>
              <w:vAlign w:val="center"/>
            </w:tcPr>
            <w:p w14:paraId="10D859FD" w14:textId="53080D7F" w:rsidR="00C93911" w:rsidRPr="0048603B" w:rsidRDefault="00C93911" w:rsidP="00C93911">
              <w:pPr>
                <w:pStyle w:val="Stopka"/>
                <w:ind w:left="426"/>
                <w:jc w:val="right"/>
                <w:rPr>
                  <w:rFonts w:asciiTheme="majorHAnsi" w:eastAsiaTheme="majorEastAsia" w:hAnsiTheme="majorHAnsi" w:cstheme="majorBidi"/>
                  <w:sz w:val="16"/>
                  <w:szCs w:val="16"/>
                </w:rPr>
              </w:pPr>
              <w:r>
                <w:rPr>
                  <w:sz w:val="16"/>
                </w:rPr>
                <w:t xml:space="preserve">Page </w:t>
              </w:r>
              <w:r w:rsidRPr="0048603B">
                <w:rPr>
                  <w:rFonts w:eastAsiaTheme="minorEastAsia"/>
                  <w:sz w:val="16"/>
                </w:rPr>
                <w:fldChar w:fldCharType="begin"/>
              </w:r>
              <w:r w:rsidRPr="0048603B">
                <w:rPr>
                  <w:sz w:val="16"/>
                </w:rPr>
                <w:instrText>PAGE    \* MERGEFORMAT</w:instrText>
              </w:r>
              <w:r w:rsidRPr="0048603B">
                <w:rPr>
                  <w:rFonts w:eastAsiaTheme="minorEastAsia"/>
                  <w:sz w:val="16"/>
                </w:rPr>
                <w:fldChar w:fldCharType="separate"/>
              </w:r>
              <w:r w:rsidRPr="0048603B">
                <w:rPr>
                  <w:rFonts w:eastAsiaTheme="minorEastAsia"/>
                  <w:sz w:val="16"/>
                </w:rPr>
                <w:t>2</w:t>
              </w:r>
              <w:r w:rsidRPr="0048603B">
                <w:rPr>
                  <w:rFonts w:eastAsiaTheme="majorEastAsia"/>
                  <w:sz w:val="16"/>
                </w:rPr>
                <w:fldChar w:fldCharType="end"/>
              </w:r>
            </w:p>
          </w:tc>
        </w:tr>
      </w:tbl>
      <w:p w14:paraId="6502E9BD" w14:textId="13D0D145" w:rsidR="00F6347F" w:rsidRPr="00C93911" w:rsidRDefault="00000000" w:rsidP="00C93911">
        <w:pPr>
          <w:pStyle w:val="Stopka"/>
          <w:ind w:left="0"/>
          <w:rPr>
            <w:rFonts w:asciiTheme="majorHAnsi" w:eastAsiaTheme="majorEastAsia" w:hAnsiTheme="majorHAnsi" w:cstheme="majorBidi"/>
            <w:sz w:val="6"/>
            <w:szCs w:val="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998489727"/>
      <w:docPartObj>
        <w:docPartGallery w:val="Page Numbers (Bottom of Page)"/>
        <w:docPartUnique/>
      </w:docPartObj>
    </w:sdtPr>
    <w:sdtContent>
      <w:p w14:paraId="345B12ED" w14:textId="615379FF" w:rsidR="0048603B" w:rsidRPr="005B0A67" w:rsidRDefault="005B0A67" w:rsidP="005B0A67">
        <w:pPr>
          <w:pStyle w:val="Stopka"/>
          <w:jc w:val="right"/>
          <w:rPr>
            <w:rFonts w:asciiTheme="majorHAnsi" w:eastAsiaTheme="majorEastAsia" w:hAnsiTheme="majorHAnsi" w:cstheme="majorBidi"/>
            <w:sz w:val="28"/>
            <w:szCs w:val="28"/>
          </w:rPr>
        </w:pPr>
        <w:r>
          <w:rPr>
            <w:sz w:val="16"/>
          </w:rPr>
          <w:t xml:space="preserve">Page </w:t>
        </w:r>
        <w:r w:rsidRPr="005B0A67">
          <w:rPr>
            <w:rFonts w:eastAsiaTheme="minorEastAsia"/>
            <w:sz w:val="16"/>
          </w:rPr>
          <w:fldChar w:fldCharType="begin"/>
        </w:r>
        <w:r w:rsidRPr="005B0A67">
          <w:rPr>
            <w:sz w:val="16"/>
          </w:rPr>
          <w:instrText>PAGE    \* MERGEFORMAT</w:instrText>
        </w:r>
        <w:r w:rsidRPr="005B0A67">
          <w:rPr>
            <w:rFonts w:eastAsiaTheme="minorEastAsia"/>
            <w:sz w:val="16"/>
          </w:rPr>
          <w:fldChar w:fldCharType="separate"/>
        </w:r>
        <w:r w:rsidRPr="005B0A67">
          <w:rPr>
            <w:rFonts w:eastAsiaTheme="majorEastAsia"/>
            <w:sz w:val="16"/>
          </w:rPr>
          <w:t>2</w:t>
        </w:r>
        <w:r w:rsidRPr="005B0A67">
          <w:rPr>
            <w:rFonts w:eastAsiaTheme="majorEastAsia"/>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FD74D" w14:textId="77777777" w:rsidR="00474678" w:rsidRDefault="00474678" w:rsidP="006A061D">
      <w:r>
        <w:separator/>
      </w:r>
    </w:p>
  </w:footnote>
  <w:footnote w:type="continuationSeparator" w:id="0">
    <w:p w14:paraId="48C03850" w14:textId="77777777" w:rsidR="00474678" w:rsidRDefault="00474678" w:rsidP="006A061D">
      <w:r>
        <w:continuationSeparator/>
      </w:r>
    </w:p>
  </w:footnote>
  <w:footnote w:type="continuationNotice" w:id="1">
    <w:p w14:paraId="761A249C" w14:textId="77777777" w:rsidR="00474678" w:rsidRDefault="00474678" w:rsidP="006A061D"/>
  </w:footnote>
  <w:footnote w:id="2">
    <w:p w14:paraId="55A872F3" w14:textId="2B855B92" w:rsidR="00F84020" w:rsidRPr="00390908" w:rsidRDefault="00F84020" w:rsidP="006A061D">
      <w:pPr>
        <w:pStyle w:val="Tekstprzypisudolnego"/>
        <w:rPr>
          <w:rFonts w:ascii="Open Sans" w:hAnsi="Open Sans" w:cs="Open Sans"/>
          <w:sz w:val="18"/>
          <w:szCs w:val="18"/>
        </w:rPr>
      </w:pPr>
      <w:r>
        <w:rPr>
          <w:rStyle w:val="Odwoanieprzypisudolnego"/>
          <w:rFonts w:ascii="Open Sans" w:hAnsi="Open Sans" w:cs="Open Sans"/>
          <w:sz w:val="18"/>
          <w:szCs w:val="18"/>
        </w:rPr>
        <w:footnoteRef/>
      </w:r>
      <w:r>
        <w:rPr>
          <w:rFonts w:ascii="Open Sans" w:hAnsi="Open Sans"/>
          <w:sz w:val="18"/>
        </w:rPr>
        <w:t xml:space="preserve"> Reports will be considered if they concern the disclosure of irregularities defined in the </w:t>
      </w:r>
      <w:r>
        <w:rPr>
          <w:rFonts w:ascii="Open Sans" w:hAnsi="Open Sans"/>
          <w:i/>
          <w:iCs/>
          <w:sz w:val="18"/>
        </w:rPr>
        <w:t>Procedure for accepting internal reports of legal violations and taking follow-up action in the KGHM Polska Miedź S.A. Group</w:t>
      </w:r>
      <w:r>
        <w:rPr>
          <w:rFonts w:ascii="Open Sans" w:hAnsi="Open Sans"/>
          <w:sz w:val="18"/>
        </w:rPr>
        <w:t>.</w:t>
      </w:r>
    </w:p>
    <w:p w14:paraId="103CC44C" w14:textId="61C3A0A3" w:rsidR="002468A9" w:rsidRPr="002652A3" w:rsidRDefault="002468A9" w:rsidP="006A061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A789" w14:textId="5EEBF582" w:rsidR="00BA1058" w:rsidRDefault="00BA1058" w:rsidP="00BA1058">
    <w:pPr>
      <w:pStyle w:val="Nagwek"/>
      <w:jc w:val="right"/>
    </w:pPr>
    <w:r>
      <w:t>Appendix 4 to the Resolution No. 117/XII/2025</w:t>
    </w:r>
  </w:p>
  <w:p w14:paraId="45C865C5" w14:textId="63CBF920" w:rsidR="00B7266E" w:rsidRPr="00BA1058" w:rsidRDefault="00BA1058" w:rsidP="00BA1058">
    <w:pPr>
      <w:pStyle w:val="Nagwek"/>
      <w:jc w:val="right"/>
    </w:pPr>
    <w:r>
      <w:t>of the Management Board of KGHM Polska Miedź S.A. dated 21 August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426" w:type="dxa"/>
      <w:tblCellMar>
        <w:top w:w="108" w:type="dxa"/>
        <w:bottom w:w="108" w:type="dxa"/>
      </w:tblCellMar>
      <w:tblLook w:val="04A0" w:firstRow="1" w:lastRow="0" w:firstColumn="1" w:lastColumn="0" w:noHBand="0" w:noVBand="1"/>
    </w:tblPr>
    <w:tblGrid>
      <w:gridCol w:w="8646"/>
    </w:tblGrid>
    <w:tr w:rsidR="00C93911" w14:paraId="60C4E6FB" w14:textId="77777777" w:rsidTr="00C93911">
      <w:tc>
        <w:tcPr>
          <w:tcW w:w="9485" w:type="dxa"/>
          <w:tcBorders>
            <w:top w:val="nil"/>
            <w:left w:val="nil"/>
            <w:bottom w:val="single" w:sz="4" w:space="0" w:color="986A4E"/>
            <w:right w:val="nil"/>
          </w:tcBorders>
          <w:vAlign w:val="center"/>
        </w:tcPr>
        <w:p w14:paraId="20B1D1A8" w14:textId="13A51A5D" w:rsidR="00C93911" w:rsidRPr="0048603B" w:rsidRDefault="00C93911" w:rsidP="00C93911">
          <w:pPr>
            <w:pStyle w:val="Nagwek"/>
            <w:ind w:left="0"/>
            <w:jc w:val="center"/>
            <w:rPr>
              <w:sz w:val="16"/>
              <w:szCs w:val="16"/>
            </w:rPr>
          </w:pPr>
          <w:r>
            <w:rPr>
              <w:sz w:val="16"/>
            </w:rPr>
            <w:t>KGHM POLSKA MIEDŹ S.A. CAPITAL GROUP                                                                 PROCEDURE FOR ACCEPTING INTERNAL REPORTS OF LEGAL VIOLATIONS AND TAKING FOLLOW-UP ACTION</w:t>
          </w:r>
        </w:p>
      </w:tc>
    </w:tr>
  </w:tbl>
  <w:p w14:paraId="7D6F5CCD" w14:textId="77777777" w:rsidR="00C93911" w:rsidRPr="002273EE" w:rsidRDefault="00C93911" w:rsidP="00C93911">
    <w:pPr>
      <w:pStyle w:val="Nagwek"/>
      <w:ind w:left="0"/>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Spec="center" w:tblpY="-35"/>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5"/>
      <w:gridCol w:w="6731"/>
      <w:gridCol w:w="1268"/>
    </w:tblGrid>
    <w:tr w:rsidR="00BE571E" w:rsidRPr="001D666D" w14:paraId="1BBA3004" w14:textId="77777777" w:rsidTr="00BE571E">
      <w:trPr>
        <w:trHeight w:val="319"/>
      </w:trPr>
      <w:tc>
        <w:tcPr>
          <w:tcW w:w="1560" w:type="dxa"/>
          <w:vAlign w:val="center"/>
        </w:tcPr>
        <w:p w14:paraId="18C79CA0" w14:textId="77777777" w:rsidR="00F6347F" w:rsidRPr="001D666D" w:rsidRDefault="00F6347F" w:rsidP="006A061D">
          <w:pPr>
            <w:pStyle w:val="Spistreci1"/>
            <w:rPr>
              <w:bCs/>
              <w:sz w:val="20"/>
            </w:rPr>
          </w:pPr>
          <w:r>
            <w:t>KGHM/ZZSZ/P/01</w:t>
          </w:r>
        </w:p>
      </w:tc>
      <w:tc>
        <w:tcPr>
          <w:tcW w:w="6945" w:type="dxa"/>
          <w:vAlign w:val="center"/>
        </w:tcPr>
        <w:p w14:paraId="3CD067D6" w14:textId="77777777" w:rsidR="00F6347F" w:rsidRPr="00622D93" w:rsidRDefault="00F6347F" w:rsidP="006A061D">
          <w:pPr>
            <w:pStyle w:val="Spistreci1"/>
            <w:rPr>
              <w:bCs/>
            </w:rPr>
          </w:pPr>
          <w:r>
            <w:t>PROCEDURE for supervising documented information</w:t>
          </w:r>
        </w:p>
      </w:tc>
      <w:tc>
        <w:tcPr>
          <w:tcW w:w="1269" w:type="dxa"/>
          <w:vAlign w:val="center"/>
        </w:tcPr>
        <w:p w14:paraId="222C620C" w14:textId="77777777" w:rsidR="00F6347F" w:rsidRPr="001D666D" w:rsidRDefault="00F6347F" w:rsidP="006A061D">
          <w:pPr>
            <w:pStyle w:val="Spistreci1"/>
            <w:rPr>
              <w:bCs/>
              <w:sz w:val="20"/>
            </w:rPr>
          </w:pPr>
          <w:r>
            <w:t>Edition 1</w:t>
          </w:r>
        </w:p>
      </w:tc>
    </w:tr>
  </w:tbl>
  <w:p w14:paraId="50D0D222" w14:textId="77777777" w:rsidR="00F6347F" w:rsidRPr="002A77FC" w:rsidRDefault="00F6347F" w:rsidP="006A061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B89C" w14:textId="77777777" w:rsidR="005B0A67" w:rsidRPr="00954028" w:rsidRDefault="005B0A67" w:rsidP="005B0A67">
    <w:pPr>
      <w:pStyle w:val="Tekstpodstawowywcity"/>
      <w:jc w:val="right"/>
      <w:rPr>
        <w:rFonts w:ascii="Open Sans" w:hAnsi="Open Sans" w:cs="Open Sans"/>
        <w:sz w:val="20"/>
        <w:szCs w:val="20"/>
      </w:rPr>
    </w:pPr>
    <w:r>
      <w:rPr>
        <w:rFonts w:ascii="Open Sans" w:hAnsi="Open Sans"/>
        <w:sz w:val="20"/>
      </w:rPr>
      <w:t>Appendix 1</w:t>
    </w:r>
  </w:p>
  <w:p w14:paraId="28D032C9" w14:textId="3732E653" w:rsidR="0048603B" w:rsidRPr="002273EE" w:rsidRDefault="005B0A67" w:rsidP="005B0A67">
    <w:pPr>
      <w:pStyle w:val="Tekstpodstawowywcity"/>
      <w:jc w:val="right"/>
      <w:rPr>
        <w:sz w:val="12"/>
        <w:szCs w:val="12"/>
      </w:rPr>
    </w:pPr>
    <w:r>
      <w:rPr>
        <w:rFonts w:ascii="Open Sans" w:hAnsi="Open Sans"/>
        <w:sz w:val="20"/>
      </w:rPr>
      <w:t>Material scope of reports pursuant to the Act of 14 June 2024 on the Protection of Whistleblowers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1712" w14:textId="7B71A597" w:rsidR="005B0A67" w:rsidRPr="00954028" w:rsidRDefault="005B0A67" w:rsidP="005B0A67">
    <w:pPr>
      <w:pStyle w:val="Tekstpodstawowywcity"/>
      <w:spacing w:line="269" w:lineRule="auto"/>
      <w:jc w:val="right"/>
      <w:rPr>
        <w:rFonts w:ascii="Open Sans" w:hAnsi="Open Sans" w:cs="Open Sans"/>
        <w:sz w:val="20"/>
        <w:szCs w:val="20"/>
      </w:rPr>
    </w:pPr>
    <w:r>
      <w:rPr>
        <w:rFonts w:ascii="Open Sans" w:hAnsi="Open Sans"/>
        <w:sz w:val="20"/>
      </w:rPr>
      <w:t>Appendix 2 – Report template</w:t>
    </w:r>
  </w:p>
  <w:p w14:paraId="46E8DB64" w14:textId="77777777" w:rsidR="005B0A67" w:rsidRPr="002273EE" w:rsidRDefault="005B0A67" w:rsidP="00C93911">
    <w:pPr>
      <w:pStyle w:val="Nagwek"/>
      <w:ind w:left="0"/>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A37"/>
    <w:multiLevelType w:val="hybridMultilevel"/>
    <w:tmpl w:val="53C28B0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111E2F"/>
    <w:multiLevelType w:val="hybridMultilevel"/>
    <w:tmpl w:val="D076F0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4C6B4B"/>
    <w:multiLevelType w:val="hybridMultilevel"/>
    <w:tmpl w:val="9ED6F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6A74F4"/>
    <w:multiLevelType w:val="multilevel"/>
    <w:tmpl w:val="AF70DA14"/>
    <w:styleLink w:val="Styl1"/>
    <w:lvl w:ilvl="0">
      <w:start w:val="1"/>
      <w:numFmt w:val="decimal"/>
      <w:pStyle w:val="Nagwek1"/>
      <w:lvlText w:val="%1."/>
      <w:lvlJc w:val="left"/>
      <w:pPr>
        <w:ind w:left="360" w:hanging="360"/>
      </w:pPr>
      <w:rPr>
        <w:rFonts w:hint="default"/>
      </w:rPr>
    </w:lvl>
    <w:lvl w:ilvl="1">
      <w:start w:val="1"/>
      <w:numFmt w:val="decimal"/>
      <w:pStyle w:val="Akapit1"/>
      <w:lvlText w:val="%1.%2."/>
      <w:lvlJc w:val="left"/>
      <w:pPr>
        <w:ind w:left="715" w:hanging="432"/>
      </w:pPr>
      <w:rPr>
        <w:rFonts w:hint="default"/>
      </w:rPr>
    </w:lvl>
    <w:lvl w:ilvl="2">
      <w:start w:val="1"/>
      <w:numFmt w:val="decimal"/>
      <w:pStyle w:val="Akapit2"/>
      <w:lvlText w:val="%1.%2.%3."/>
      <w:lvlJc w:val="left"/>
      <w:pPr>
        <w:ind w:left="121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5F1180"/>
    <w:multiLevelType w:val="hybridMultilevel"/>
    <w:tmpl w:val="5D6095F2"/>
    <w:lvl w:ilvl="0" w:tplc="1D98A2A2">
      <w:start w:val="1"/>
      <w:numFmt w:val="decimal"/>
      <w:lvlText w:val="%1."/>
      <w:lvlJc w:val="left"/>
      <w:pPr>
        <w:ind w:left="959" w:hanging="360"/>
      </w:pPr>
      <w:rPr>
        <w:rFonts w:hint="default"/>
      </w:rPr>
    </w:lvl>
    <w:lvl w:ilvl="1" w:tplc="0415000F">
      <w:start w:val="1"/>
      <w:numFmt w:val="decimal"/>
      <w:lvlText w:val="%2."/>
      <w:lvlJc w:val="left"/>
      <w:pPr>
        <w:ind w:left="2579" w:hanging="360"/>
      </w:pPr>
    </w:lvl>
    <w:lvl w:ilvl="2" w:tplc="0415000F">
      <w:start w:val="1"/>
      <w:numFmt w:val="decimal"/>
      <w:lvlText w:val="%3."/>
      <w:lvlJc w:val="left"/>
      <w:pPr>
        <w:ind w:left="2579" w:hanging="360"/>
      </w:pPr>
    </w:lvl>
    <w:lvl w:ilvl="3" w:tplc="0415000F" w:tentative="1">
      <w:start w:val="1"/>
      <w:numFmt w:val="decimal"/>
      <w:lvlText w:val="%4."/>
      <w:lvlJc w:val="left"/>
      <w:pPr>
        <w:ind w:left="3119" w:hanging="360"/>
      </w:pPr>
    </w:lvl>
    <w:lvl w:ilvl="4" w:tplc="04150019" w:tentative="1">
      <w:start w:val="1"/>
      <w:numFmt w:val="lowerLetter"/>
      <w:lvlText w:val="%5."/>
      <w:lvlJc w:val="left"/>
      <w:pPr>
        <w:ind w:left="3839" w:hanging="360"/>
      </w:pPr>
    </w:lvl>
    <w:lvl w:ilvl="5" w:tplc="0415001B" w:tentative="1">
      <w:start w:val="1"/>
      <w:numFmt w:val="lowerRoman"/>
      <w:lvlText w:val="%6."/>
      <w:lvlJc w:val="right"/>
      <w:pPr>
        <w:ind w:left="4559" w:hanging="180"/>
      </w:pPr>
    </w:lvl>
    <w:lvl w:ilvl="6" w:tplc="0415000F" w:tentative="1">
      <w:start w:val="1"/>
      <w:numFmt w:val="decimal"/>
      <w:lvlText w:val="%7."/>
      <w:lvlJc w:val="left"/>
      <w:pPr>
        <w:ind w:left="5279" w:hanging="360"/>
      </w:pPr>
    </w:lvl>
    <w:lvl w:ilvl="7" w:tplc="04150019" w:tentative="1">
      <w:start w:val="1"/>
      <w:numFmt w:val="lowerLetter"/>
      <w:lvlText w:val="%8."/>
      <w:lvlJc w:val="left"/>
      <w:pPr>
        <w:ind w:left="5999" w:hanging="360"/>
      </w:pPr>
    </w:lvl>
    <w:lvl w:ilvl="8" w:tplc="0415001B" w:tentative="1">
      <w:start w:val="1"/>
      <w:numFmt w:val="lowerRoman"/>
      <w:lvlText w:val="%9."/>
      <w:lvlJc w:val="right"/>
      <w:pPr>
        <w:ind w:left="6719" w:hanging="180"/>
      </w:pPr>
    </w:lvl>
  </w:abstractNum>
  <w:abstractNum w:abstractNumId="5" w15:restartNumberingAfterBreak="0">
    <w:nsid w:val="157D06E9"/>
    <w:multiLevelType w:val="hybridMultilevel"/>
    <w:tmpl w:val="12F81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B9598F"/>
    <w:multiLevelType w:val="hybridMultilevel"/>
    <w:tmpl w:val="9F727D80"/>
    <w:lvl w:ilvl="0" w:tplc="FFFFFFFF">
      <w:start w:val="1"/>
      <w:numFmt w:val="decimal"/>
      <w:lvlText w:val="%1)"/>
      <w:lvlJc w:val="left"/>
      <w:pPr>
        <w:ind w:left="2629" w:hanging="360"/>
      </w:pPr>
      <w:rPr>
        <w:rFonts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abstractNum w:abstractNumId="7" w15:restartNumberingAfterBreak="0">
    <w:nsid w:val="18814F26"/>
    <w:multiLevelType w:val="hybridMultilevel"/>
    <w:tmpl w:val="337A1A10"/>
    <w:lvl w:ilvl="0" w:tplc="1D18A99A">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 w15:restartNumberingAfterBreak="0">
    <w:nsid w:val="196D10A5"/>
    <w:multiLevelType w:val="hybridMultilevel"/>
    <w:tmpl w:val="FCBA0A88"/>
    <w:lvl w:ilvl="0" w:tplc="565A4968">
      <w:start w:val="1"/>
      <w:numFmt w:val="decimal"/>
      <w:lvlText w:val="%1."/>
      <w:lvlJc w:val="right"/>
      <w:pPr>
        <w:ind w:left="2399" w:hanging="180"/>
      </w:pPr>
      <w:rPr>
        <w:rFonts w:ascii="Open Sans" w:eastAsia="Calibri" w:hAnsi="Open Sans" w:cs="Open San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3F08B1"/>
    <w:multiLevelType w:val="hybridMultilevel"/>
    <w:tmpl w:val="6E74DD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BAA76DD"/>
    <w:multiLevelType w:val="hybridMultilevel"/>
    <w:tmpl w:val="DB2CD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86436A"/>
    <w:multiLevelType w:val="hybridMultilevel"/>
    <w:tmpl w:val="E09C55CE"/>
    <w:lvl w:ilvl="0" w:tplc="04150017">
      <w:start w:val="1"/>
      <w:numFmt w:val="lowerLetter"/>
      <w:pStyle w:val="Bullet-"/>
      <w:lvlText w:val="%1)"/>
      <w:lvlJc w:val="left"/>
      <w:pPr>
        <w:ind w:left="2629" w:hanging="360"/>
      </w:pPr>
      <w:rPr>
        <w:rFonts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abstractNum w:abstractNumId="12" w15:restartNumberingAfterBreak="0">
    <w:nsid w:val="1F4136BF"/>
    <w:multiLevelType w:val="hybridMultilevel"/>
    <w:tmpl w:val="9F727D80"/>
    <w:lvl w:ilvl="0" w:tplc="FFFFFFFF">
      <w:start w:val="1"/>
      <w:numFmt w:val="decimal"/>
      <w:lvlText w:val="%1)"/>
      <w:lvlJc w:val="left"/>
      <w:pPr>
        <w:ind w:left="2629" w:hanging="360"/>
      </w:pPr>
      <w:rPr>
        <w:rFonts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abstractNum w:abstractNumId="13" w15:restartNumberingAfterBreak="0">
    <w:nsid w:val="276052F8"/>
    <w:multiLevelType w:val="hybridMultilevel"/>
    <w:tmpl w:val="B32658E0"/>
    <w:lvl w:ilvl="0" w:tplc="04150011">
      <w:start w:val="1"/>
      <w:numFmt w:val="decimal"/>
      <w:lvlText w:val="%1)"/>
      <w:lvlJc w:val="left"/>
      <w:pPr>
        <w:ind w:left="2629" w:hanging="360"/>
      </w:pPr>
      <w:rPr>
        <w:rFonts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abstractNum w:abstractNumId="14" w15:restartNumberingAfterBreak="0">
    <w:nsid w:val="319615DB"/>
    <w:multiLevelType w:val="hybridMultilevel"/>
    <w:tmpl w:val="822EB2EA"/>
    <w:lvl w:ilvl="0" w:tplc="FFFFFFFF">
      <w:start w:val="1"/>
      <w:numFmt w:val="decimal"/>
      <w:lvlText w:val="%1)"/>
      <w:lvlJc w:val="left"/>
      <w:pPr>
        <w:ind w:left="2629" w:hanging="360"/>
      </w:pPr>
      <w:rPr>
        <w:rFonts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abstractNum w:abstractNumId="15" w15:restartNumberingAfterBreak="0">
    <w:nsid w:val="36CE410E"/>
    <w:multiLevelType w:val="hybridMultilevel"/>
    <w:tmpl w:val="F67EC89E"/>
    <w:lvl w:ilvl="0" w:tplc="0415000F">
      <w:start w:val="1"/>
      <w:numFmt w:val="decimal"/>
      <w:lvlText w:val="%1."/>
      <w:lvlJc w:val="left"/>
      <w:pPr>
        <w:ind w:left="4019" w:hanging="360"/>
      </w:pPr>
    </w:lvl>
    <w:lvl w:ilvl="1" w:tplc="04150019" w:tentative="1">
      <w:start w:val="1"/>
      <w:numFmt w:val="lowerLetter"/>
      <w:lvlText w:val="%2."/>
      <w:lvlJc w:val="left"/>
      <w:pPr>
        <w:ind w:left="4739" w:hanging="360"/>
      </w:pPr>
    </w:lvl>
    <w:lvl w:ilvl="2" w:tplc="0415001B" w:tentative="1">
      <w:start w:val="1"/>
      <w:numFmt w:val="lowerRoman"/>
      <w:lvlText w:val="%3."/>
      <w:lvlJc w:val="right"/>
      <w:pPr>
        <w:ind w:left="5459" w:hanging="180"/>
      </w:pPr>
    </w:lvl>
    <w:lvl w:ilvl="3" w:tplc="0415000F" w:tentative="1">
      <w:start w:val="1"/>
      <w:numFmt w:val="decimal"/>
      <w:lvlText w:val="%4."/>
      <w:lvlJc w:val="left"/>
      <w:pPr>
        <w:ind w:left="6179" w:hanging="360"/>
      </w:pPr>
    </w:lvl>
    <w:lvl w:ilvl="4" w:tplc="04150019" w:tentative="1">
      <w:start w:val="1"/>
      <w:numFmt w:val="lowerLetter"/>
      <w:lvlText w:val="%5."/>
      <w:lvlJc w:val="left"/>
      <w:pPr>
        <w:ind w:left="6899" w:hanging="360"/>
      </w:pPr>
    </w:lvl>
    <w:lvl w:ilvl="5" w:tplc="0415001B" w:tentative="1">
      <w:start w:val="1"/>
      <w:numFmt w:val="lowerRoman"/>
      <w:lvlText w:val="%6."/>
      <w:lvlJc w:val="right"/>
      <w:pPr>
        <w:ind w:left="7619" w:hanging="180"/>
      </w:pPr>
    </w:lvl>
    <w:lvl w:ilvl="6" w:tplc="0415000F" w:tentative="1">
      <w:start w:val="1"/>
      <w:numFmt w:val="decimal"/>
      <w:lvlText w:val="%7."/>
      <w:lvlJc w:val="left"/>
      <w:pPr>
        <w:ind w:left="8339" w:hanging="360"/>
      </w:pPr>
    </w:lvl>
    <w:lvl w:ilvl="7" w:tplc="04150019" w:tentative="1">
      <w:start w:val="1"/>
      <w:numFmt w:val="lowerLetter"/>
      <w:lvlText w:val="%8."/>
      <w:lvlJc w:val="left"/>
      <w:pPr>
        <w:ind w:left="9059" w:hanging="360"/>
      </w:pPr>
    </w:lvl>
    <w:lvl w:ilvl="8" w:tplc="0415001B" w:tentative="1">
      <w:start w:val="1"/>
      <w:numFmt w:val="lowerRoman"/>
      <w:lvlText w:val="%9."/>
      <w:lvlJc w:val="right"/>
      <w:pPr>
        <w:ind w:left="9779" w:hanging="180"/>
      </w:pPr>
    </w:lvl>
  </w:abstractNum>
  <w:abstractNum w:abstractNumId="16" w15:restartNumberingAfterBreak="0">
    <w:nsid w:val="38BB18E9"/>
    <w:multiLevelType w:val="hybridMultilevel"/>
    <w:tmpl w:val="9F727D80"/>
    <w:lvl w:ilvl="0" w:tplc="04150011">
      <w:start w:val="1"/>
      <w:numFmt w:val="decimal"/>
      <w:lvlText w:val="%1)"/>
      <w:lvlJc w:val="left"/>
      <w:pPr>
        <w:ind w:left="2629" w:hanging="360"/>
      </w:pPr>
      <w:rPr>
        <w:rFonts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abstractNum w:abstractNumId="17" w15:restartNumberingAfterBreak="0">
    <w:nsid w:val="439D120D"/>
    <w:multiLevelType w:val="hybridMultilevel"/>
    <w:tmpl w:val="57F6DD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4C9711E0"/>
    <w:multiLevelType w:val="hybridMultilevel"/>
    <w:tmpl w:val="81AAF0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164BE9"/>
    <w:multiLevelType w:val="hybridMultilevel"/>
    <w:tmpl w:val="C52E01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251593"/>
    <w:multiLevelType w:val="hybridMultilevel"/>
    <w:tmpl w:val="9F727D80"/>
    <w:lvl w:ilvl="0" w:tplc="FFFFFFFF">
      <w:start w:val="1"/>
      <w:numFmt w:val="decimal"/>
      <w:lvlText w:val="%1)"/>
      <w:lvlJc w:val="left"/>
      <w:pPr>
        <w:ind w:left="2629" w:hanging="360"/>
      </w:pPr>
      <w:rPr>
        <w:rFonts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abstractNum w:abstractNumId="21" w15:restartNumberingAfterBreak="0">
    <w:nsid w:val="5C601B22"/>
    <w:multiLevelType w:val="hybridMultilevel"/>
    <w:tmpl w:val="2FB0E226"/>
    <w:lvl w:ilvl="0" w:tplc="8BF23ABE">
      <w:start w:val="1"/>
      <w:numFmt w:val="decimal"/>
      <w:lvlText w:val="%1."/>
      <w:lvlJc w:val="left"/>
      <w:pPr>
        <w:ind w:left="3299" w:hanging="360"/>
      </w:pPr>
      <w:rPr>
        <w:b w:val="0"/>
        <w:bCs/>
      </w:rPr>
    </w:lvl>
    <w:lvl w:ilvl="1" w:tplc="04150019" w:tentative="1">
      <w:start w:val="1"/>
      <w:numFmt w:val="lowerLetter"/>
      <w:lvlText w:val="%2."/>
      <w:lvlJc w:val="left"/>
      <w:pPr>
        <w:ind w:left="4019" w:hanging="360"/>
      </w:pPr>
    </w:lvl>
    <w:lvl w:ilvl="2" w:tplc="0415001B" w:tentative="1">
      <w:start w:val="1"/>
      <w:numFmt w:val="lowerRoman"/>
      <w:lvlText w:val="%3."/>
      <w:lvlJc w:val="right"/>
      <w:pPr>
        <w:ind w:left="4739" w:hanging="180"/>
      </w:pPr>
    </w:lvl>
    <w:lvl w:ilvl="3" w:tplc="0415000F" w:tentative="1">
      <w:start w:val="1"/>
      <w:numFmt w:val="decimal"/>
      <w:lvlText w:val="%4."/>
      <w:lvlJc w:val="left"/>
      <w:pPr>
        <w:ind w:left="5459" w:hanging="360"/>
      </w:pPr>
    </w:lvl>
    <w:lvl w:ilvl="4" w:tplc="04150019" w:tentative="1">
      <w:start w:val="1"/>
      <w:numFmt w:val="lowerLetter"/>
      <w:lvlText w:val="%5."/>
      <w:lvlJc w:val="left"/>
      <w:pPr>
        <w:ind w:left="6179" w:hanging="360"/>
      </w:pPr>
    </w:lvl>
    <w:lvl w:ilvl="5" w:tplc="0415001B" w:tentative="1">
      <w:start w:val="1"/>
      <w:numFmt w:val="lowerRoman"/>
      <w:lvlText w:val="%6."/>
      <w:lvlJc w:val="right"/>
      <w:pPr>
        <w:ind w:left="6899" w:hanging="180"/>
      </w:pPr>
    </w:lvl>
    <w:lvl w:ilvl="6" w:tplc="0415000F" w:tentative="1">
      <w:start w:val="1"/>
      <w:numFmt w:val="decimal"/>
      <w:lvlText w:val="%7."/>
      <w:lvlJc w:val="left"/>
      <w:pPr>
        <w:ind w:left="7619" w:hanging="360"/>
      </w:pPr>
    </w:lvl>
    <w:lvl w:ilvl="7" w:tplc="04150019" w:tentative="1">
      <w:start w:val="1"/>
      <w:numFmt w:val="lowerLetter"/>
      <w:lvlText w:val="%8."/>
      <w:lvlJc w:val="left"/>
      <w:pPr>
        <w:ind w:left="8339" w:hanging="360"/>
      </w:pPr>
    </w:lvl>
    <w:lvl w:ilvl="8" w:tplc="0415001B" w:tentative="1">
      <w:start w:val="1"/>
      <w:numFmt w:val="lowerRoman"/>
      <w:lvlText w:val="%9."/>
      <w:lvlJc w:val="right"/>
      <w:pPr>
        <w:ind w:left="9059" w:hanging="180"/>
      </w:pPr>
    </w:lvl>
  </w:abstractNum>
  <w:abstractNum w:abstractNumId="22" w15:restartNumberingAfterBreak="0">
    <w:nsid w:val="5E972152"/>
    <w:multiLevelType w:val="hybridMultilevel"/>
    <w:tmpl w:val="E09C55CE"/>
    <w:lvl w:ilvl="0" w:tplc="FFFFFFFF">
      <w:start w:val="1"/>
      <w:numFmt w:val="lowerLetter"/>
      <w:lvlText w:val="%1)"/>
      <w:lvlJc w:val="left"/>
      <w:pPr>
        <w:ind w:left="2629" w:hanging="360"/>
      </w:pPr>
      <w:rPr>
        <w:rFonts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abstractNum w:abstractNumId="23" w15:restartNumberingAfterBreak="0">
    <w:nsid w:val="62E831AF"/>
    <w:multiLevelType w:val="hybridMultilevel"/>
    <w:tmpl w:val="8F1E142E"/>
    <w:lvl w:ilvl="0" w:tplc="04150011">
      <w:start w:val="1"/>
      <w:numFmt w:val="decimal"/>
      <w:lvlText w:val="%1)"/>
      <w:lvlJc w:val="left"/>
      <w:pPr>
        <w:ind w:left="1494" w:hanging="360"/>
      </w:pPr>
      <w:rPr>
        <w:rFonts w:hint="default"/>
      </w:rPr>
    </w:lvl>
    <w:lvl w:ilvl="1" w:tplc="D692558A">
      <w:start w:val="1"/>
      <w:numFmt w:val="decimal"/>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4" w15:restartNumberingAfterBreak="0">
    <w:nsid w:val="6564761C"/>
    <w:multiLevelType w:val="hybridMultilevel"/>
    <w:tmpl w:val="C706B250"/>
    <w:lvl w:ilvl="0" w:tplc="0415000F">
      <w:start w:val="1"/>
      <w:numFmt w:val="decimal"/>
      <w:lvlText w:val="%1."/>
      <w:lvlJc w:val="left"/>
      <w:pPr>
        <w:ind w:left="2579" w:hanging="360"/>
      </w:pPr>
    </w:lvl>
    <w:lvl w:ilvl="1" w:tplc="04150019" w:tentative="1">
      <w:start w:val="1"/>
      <w:numFmt w:val="lowerLetter"/>
      <w:lvlText w:val="%2."/>
      <w:lvlJc w:val="left"/>
      <w:pPr>
        <w:ind w:left="3299" w:hanging="360"/>
      </w:pPr>
    </w:lvl>
    <w:lvl w:ilvl="2" w:tplc="0415001B" w:tentative="1">
      <w:start w:val="1"/>
      <w:numFmt w:val="lowerRoman"/>
      <w:lvlText w:val="%3."/>
      <w:lvlJc w:val="right"/>
      <w:pPr>
        <w:ind w:left="4019" w:hanging="180"/>
      </w:pPr>
    </w:lvl>
    <w:lvl w:ilvl="3" w:tplc="0415000F" w:tentative="1">
      <w:start w:val="1"/>
      <w:numFmt w:val="decimal"/>
      <w:lvlText w:val="%4."/>
      <w:lvlJc w:val="left"/>
      <w:pPr>
        <w:ind w:left="4739" w:hanging="360"/>
      </w:pPr>
    </w:lvl>
    <w:lvl w:ilvl="4" w:tplc="04150019" w:tentative="1">
      <w:start w:val="1"/>
      <w:numFmt w:val="lowerLetter"/>
      <w:lvlText w:val="%5."/>
      <w:lvlJc w:val="left"/>
      <w:pPr>
        <w:ind w:left="5459" w:hanging="360"/>
      </w:pPr>
    </w:lvl>
    <w:lvl w:ilvl="5" w:tplc="0415001B" w:tentative="1">
      <w:start w:val="1"/>
      <w:numFmt w:val="lowerRoman"/>
      <w:lvlText w:val="%6."/>
      <w:lvlJc w:val="right"/>
      <w:pPr>
        <w:ind w:left="6179" w:hanging="180"/>
      </w:pPr>
    </w:lvl>
    <w:lvl w:ilvl="6" w:tplc="0415000F" w:tentative="1">
      <w:start w:val="1"/>
      <w:numFmt w:val="decimal"/>
      <w:lvlText w:val="%7."/>
      <w:lvlJc w:val="left"/>
      <w:pPr>
        <w:ind w:left="6899" w:hanging="360"/>
      </w:pPr>
    </w:lvl>
    <w:lvl w:ilvl="7" w:tplc="04150019" w:tentative="1">
      <w:start w:val="1"/>
      <w:numFmt w:val="lowerLetter"/>
      <w:lvlText w:val="%8."/>
      <w:lvlJc w:val="left"/>
      <w:pPr>
        <w:ind w:left="7619" w:hanging="360"/>
      </w:pPr>
    </w:lvl>
    <w:lvl w:ilvl="8" w:tplc="0415001B" w:tentative="1">
      <w:start w:val="1"/>
      <w:numFmt w:val="lowerRoman"/>
      <w:lvlText w:val="%9."/>
      <w:lvlJc w:val="right"/>
      <w:pPr>
        <w:ind w:left="8339" w:hanging="180"/>
      </w:pPr>
    </w:lvl>
  </w:abstractNum>
  <w:abstractNum w:abstractNumId="25" w15:restartNumberingAfterBreak="0">
    <w:nsid w:val="66DB35C8"/>
    <w:multiLevelType w:val="hybridMultilevel"/>
    <w:tmpl w:val="822EB2EA"/>
    <w:lvl w:ilvl="0" w:tplc="04150011">
      <w:start w:val="1"/>
      <w:numFmt w:val="decimal"/>
      <w:lvlText w:val="%1)"/>
      <w:lvlJc w:val="left"/>
      <w:pPr>
        <w:ind w:left="2629" w:hanging="360"/>
      </w:pPr>
      <w:rPr>
        <w:rFonts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abstractNum w:abstractNumId="26" w15:restartNumberingAfterBreak="0">
    <w:nsid w:val="68386ED5"/>
    <w:multiLevelType w:val="hybridMultilevel"/>
    <w:tmpl w:val="E09C55CE"/>
    <w:lvl w:ilvl="0" w:tplc="FFFFFFFF">
      <w:start w:val="1"/>
      <w:numFmt w:val="lowerLetter"/>
      <w:lvlText w:val="%1)"/>
      <w:lvlJc w:val="left"/>
      <w:pPr>
        <w:ind w:left="2629" w:hanging="360"/>
      </w:pPr>
      <w:rPr>
        <w:rFonts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abstractNum w:abstractNumId="27" w15:restartNumberingAfterBreak="0">
    <w:nsid w:val="690D54B0"/>
    <w:multiLevelType w:val="multilevel"/>
    <w:tmpl w:val="594C5216"/>
    <w:lvl w:ilvl="0">
      <w:start w:val="1"/>
      <w:numFmt w:val="decimal"/>
      <w:pStyle w:val="Akapit0"/>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8" w15:restartNumberingAfterBreak="0">
    <w:nsid w:val="6FF0191A"/>
    <w:multiLevelType w:val="hybridMultilevel"/>
    <w:tmpl w:val="4BA44696"/>
    <w:lvl w:ilvl="0" w:tplc="46F47B2A">
      <w:start w:val="1"/>
      <w:numFmt w:val="decimal"/>
      <w:pStyle w:val="JStekst123"/>
      <w:lvlText w:val="%1."/>
      <w:lvlJc w:val="left"/>
      <w:pPr>
        <w:ind w:left="360" w:hanging="360"/>
      </w:pPr>
      <w:rPr>
        <w:rFonts w:hint="default"/>
        <w:b w:val="0"/>
        <w:bCs w:val="0"/>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AD4718D"/>
    <w:multiLevelType w:val="hybridMultilevel"/>
    <w:tmpl w:val="9F727D80"/>
    <w:lvl w:ilvl="0" w:tplc="FFFFFFFF">
      <w:start w:val="1"/>
      <w:numFmt w:val="decimal"/>
      <w:lvlText w:val="%1)"/>
      <w:lvlJc w:val="left"/>
      <w:pPr>
        <w:ind w:left="2629" w:hanging="360"/>
      </w:pPr>
      <w:rPr>
        <w:rFonts w:hint="default"/>
      </w:rPr>
    </w:lvl>
    <w:lvl w:ilvl="1" w:tplc="FFFFFFFF" w:tentative="1">
      <w:start w:val="1"/>
      <w:numFmt w:val="bullet"/>
      <w:lvlText w:val="o"/>
      <w:lvlJc w:val="left"/>
      <w:pPr>
        <w:ind w:left="3349" w:hanging="360"/>
      </w:pPr>
      <w:rPr>
        <w:rFonts w:ascii="Courier New" w:hAnsi="Courier New" w:cs="Courier New" w:hint="default"/>
      </w:rPr>
    </w:lvl>
    <w:lvl w:ilvl="2" w:tplc="FFFFFFFF" w:tentative="1">
      <w:start w:val="1"/>
      <w:numFmt w:val="bullet"/>
      <w:lvlText w:val=""/>
      <w:lvlJc w:val="left"/>
      <w:pPr>
        <w:ind w:left="4069" w:hanging="360"/>
      </w:pPr>
      <w:rPr>
        <w:rFonts w:ascii="Wingdings" w:hAnsi="Wingdings" w:hint="default"/>
      </w:rPr>
    </w:lvl>
    <w:lvl w:ilvl="3" w:tplc="FFFFFFFF" w:tentative="1">
      <w:start w:val="1"/>
      <w:numFmt w:val="bullet"/>
      <w:lvlText w:val=""/>
      <w:lvlJc w:val="left"/>
      <w:pPr>
        <w:ind w:left="4789" w:hanging="360"/>
      </w:pPr>
      <w:rPr>
        <w:rFonts w:ascii="Symbol" w:hAnsi="Symbol" w:hint="default"/>
      </w:rPr>
    </w:lvl>
    <w:lvl w:ilvl="4" w:tplc="FFFFFFFF" w:tentative="1">
      <w:start w:val="1"/>
      <w:numFmt w:val="bullet"/>
      <w:lvlText w:val="o"/>
      <w:lvlJc w:val="left"/>
      <w:pPr>
        <w:ind w:left="5509" w:hanging="360"/>
      </w:pPr>
      <w:rPr>
        <w:rFonts w:ascii="Courier New" w:hAnsi="Courier New" w:cs="Courier New" w:hint="default"/>
      </w:rPr>
    </w:lvl>
    <w:lvl w:ilvl="5" w:tplc="FFFFFFFF" w:tentative="1">
      <w:start w:val="1"/>
      <w:numFmt w:val="bullet"/>
      <w:lvlText w:val=""/>
      <w:lvlJc w:val="left"/>
      <w:pPr>
        <w:ind w:left="6229" w:hanging="360"/>
      </w:pPr>
      <w:rPr>
        <w:rFonts w:ascii="Wingdings" w:hAnsi="Wingdings" w:hint="default"/>
      </w:rPr>
    </w:lvl>
    <w:lvl w:ilvl="6" w:tplc="FFFFFFFF" w:tentative="1">
      <w:start w:val="1"/>
      <w:numFmt w:val="bullet"/>
      <w:lvlText w:val=""/>
      <w:lvlJc w:val="left"/>
      <w:pPr>
        <w:ind w:left="6949" w:hanging="360"/>
      </w:pPr>
      <w:rPr>
        <w:rFonts w:ascii="Symbol" w:hAnsi="Symbol" w:hint="default"/>
      </w:rPr>
    </w:lvl>
    <w:lvl w:ilvl="7" w:tplc="FFFFFFFF" w:tentative="1">
      <w:start w:val="1"/>
      <w:numFmt w:val="bullet"/>
      <w:lvlText w:val="o"/>
      <w:lvlJc w:val="left"/>
      <w:pPr>
        <w:ind w:left="7669" w:hanging="360"/>
      </w:pPr>
      <w:rPr>
        <w:rFonts w:ascii="Courier New" w:hAnsi="Courier New" w:cs="Courier New" w:hint="default"/>
      </w:rPr>
    </w:lvl>
    <w:lvl w:ilvl="8" w:tplc="FFFFFFFF" w:tentative="1">
      <w:start w:val="1"/>
      <w:numFmt w:val="bullet"/>
      <w:lvlText w:val=""/>
      <w:lvlJc w:val="left"/>
      <w:pPr>
        <w:ind w:left="8389" w:hanging="360"/>
      </w:pPr>
      <w:rPr>
        <w:rFonts w:ascii="Wingdings" w:hAnsi="Wingdings" w:hint="default"/>
      </w:rPr>
    </w:lvl>
  </w:abstractNum>
  <w:num w:numId="1" w16cid:durableId="43606496">
    <w:abstractNumId w:val="5"/>
  </w:num>
  <w:num w:numId="2" w16cid:durableId="185755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140880">
    <w:abstractNumId w:val="2"/>
  </w:num>
  <w:num w:numId="4" w16cid:durableId="1665235560">
    <w:abstractNumId w:val="0"/>
  </w:num>
  <w:num w:numId="5" w16cid:durableId="1363743163">
    <w:abstractNumId w:val="27"/>
  </w:num>
  <w:num w:numId="6" w16cid:durableId="93525422">
    <w:abstractNumId w:val="11"/>
  </w:num>
  <w:num w:numId="7" w16cid:durableId="48890298">
    <w:abstractNumId w:val="3"/>
    <w:lvlOverride w:ilvl="0">
      <w:lvl w:ilvl="0">
        <w:start w:val="1"/>
        <w:numFmt w:val="decimal"/>
        <w:pStyle w:val="Nagwek1"/>
        <w:lvlText w:val="%1."/>
        <w:lvlJc w:val="left"/>
        <w:pPr>
          <w:ind w:left="643" w:hanging="360"/>
        </w:pPr>
        <w:rPr>
          <w:b w:val="0"/>
          <w:bCs/>
        </w:rPr>
      </w:lvl>
    </w:lvlOverride>
    <w:lvlOverride w:ilvl="1">
      <w:lvl w:ilvl="1">
        <w:start w:val="1"/>
        <w:numFmt w:val="decimal"/>
        <w:pStyle w:val="Akapit1"/>
        <w:lvlText w:val="%2."/>
        <w:lvlJc w:val="left"/>
        <w:pPr>
          <w:ind w:left="1363" w:hanging="360"/>
        </w:pPr>
        <w:rPr>
          <w:rFonts w:ascii="Open Sans" w:eastAsia="Calibri" w:hAnsi="Open Sans" w:cs="Open Sans"/>
        </w:rPr>
      </w:lvl>
    </w:lvlOverride>
    <w:lvlOverride w:ilvl="2">
      <w:lvl w:ilvl="2">
        <w:start w:val="1"/>
        <w:numFmt w:val="lowerRoman"/>
        <w:pStyle w:val="Akapit2"/>
        <w:lvlText w:val="%3."/>
        <w:lvlJc w:val="right"/>
        <w:pPr>
          <w:ind w:left="2083" w:hanging="180"/>
        </w:pPr>
      </w:lvl>
    </w:lvlOverride>
    <w:lvlOverride w:ilvl="3">
      <w:lvl w:ilvl="3" w:tentative="1">
        <w:start w:val="1"/>
        <w:numFmt w:val="decimal"/>
        <w:lvlText w:val="%4."/>
        <w:lvlJc w:val="left"/>
        <w:pPr>
          <w:ind w:left="2803" w:hanging="360"/>
        </w:pPr>
      </w:lvl>
    </w:lvlOverride>
    <w:lvlOverride w:ilvl="4">
      <w:lvl w:ilvl="4" w:tentative="1">
        <w:start w:val="1"/>
        <w:numFmt w:val="lowerLetter"/>
        <w:lvlText w:val="%5."/>
        <w:lvlJc w:val="left"/>
        <w:pPr>
          <w:ind w:left="3523" w:hanging="360"/>
        </w:pPr>
      </w:lvl>
    </w:lvlOverride>
    <w:lvlOverride w:ilvl="5">
      <w:lvl w:ilvl="5" w:tentative="1">
        <w:start w:val="1"/>
        <w:numFmt w:val="lowerRoman"/>
        <w:lvlText w:val="%6."/>
        <w:lvlJc w:val="right"/>
        <w:pPr>
          <w:ind w:left="4243" w:hanging="180"/>
        </w:pPr>
      </w:lvl>
    </w:lvlOverride>
    <w:lvlOverride w:ilvl="6">
      <w:lvl w:ilvl="6" w:tentative="1">
        <w:start w:val="1"/>
        <w:numFmt w:val="decimal"/>
        <w:lvlText w:val="%7."/>
        <w:lvlJc w:val="left"/>
        <w:pPr>
          <w:ind w:left="4963" w:hanging="360"/>
        </w:pPr>
      </w:lvl>
    </w:lvlOverride>
    <w:lvlOverride w:ilvl="7">
      <w:lvl w:ilvl="7" w:tentative="1">
        <w:start w:val="1"/>
        <w:numFmt w:val="lowerLetter"/>
        <w:lvlText w:val="%8."/>
        <w:lvlJc w:val="left"/>
        <w:pPr>
          <w:ind w:left="5683" w:hanging="360"/>
        </w:pPr>
      </w:lvl>
    </w:lvlOverride>
    <w:lvlOverride w:ilvl="8">
      <w:lvl w:ilvl="8" w:tentative="1">
        <w:start w:val="1"/>
        <w:numFmt w:val="lowerRoman"/>
        <w:lvlText w:val="%9."/>
        <w:lvlJc w:val="right"/>
        <w:pPr>
          <w:ind w:left="6403" w:hanging="180"/>
        </w:pPr>
      </w:lvl>
    </w:lvlOverride>
  </w:num>
  <w:num w:numId="8" w16cid:durableId="247081733">
    <w:abstractNumId w:val="3"/>
  </w:num>
  <w:num w:numId="9" w16cid:durableId="1151796654">
    <w:abstractNumId w:val="23"/>
  </w:num>
  <w:num w:numId="10" w16cid:durableId="998263665">
    <w:abstractNumId w:val="1"/>
  </w:num>
  <w:num w:numId="11" w16cid:durableId="473136021">
    <w:abstractNumId w:val="17"/>
  </w:num>
  <w:num w:numId="12" w16cid:durableId="1906866936">
    <w:abstractNumId w:val="19"/>
  </w:num>
  <w:num w:numId="13" w16cid:durableId="743139574">
    <w:abstractNumId w:val="13"/>
  </w:num>
  <w:num w:numId="14" w16cid:durableId="2015722867">
    <w:abstractNumId w:val="25"/>
  </w:num>
  <w:num w:numId="15" w16cid:durableId="1723364299">
    <w:abstractNumId w:val="16"/>
  </w:num>
  <w:num w:numId="16" w16cid:durableId="1708531343">
    <w:abstractNumId w:val="7"/>
  </w:num>
  <w:num w:numId="17" w16cid:durableId="1862475270">
    <w:abstractNumId w:val="22"/>
  </w:num>
  <w:num w:numId="18" w16cid:durableId="1783181034">
    <w:abstractNumId w:val="3"/>
    <w:lvlOverride w:ilvl="0">
      <w:lvl w:ilvl="0">
        <w:start w:val="1"/>
        <w:numFmt w:val="decimal"/>
        <w:pStyle w:val="Nagwek1"/>
        <w:lvlText w:val="%1."/>
        <w:lvlJc w:val="left"/>
        <w:pPr>
          <w:ind w:left="360" w:hanging="360"/>
        </w:pPr>
        <w:rPr>
          <w:rFonts w:hint="default"/>
          <w:b w:val="0"/>
          <w:bCs w:val="0"/>
        </w:rPr>
      </w:lvl>
    </w:lvlOverride>
    <w:lvlOverride w:ilvl="1">
      <w:lvl w:ilvl="1">
        <w:start w:val="1"/>
        <w:numFmt w:val="decimal"/>
        <w:pStyle w:val="Akapit1"/>
        <w:lvlText w:val="%1.%2."/>
        <w:lvlJc w:val="left"/>
        <w:pPr>
          <w:ind w:left="715" w:hanging="432"/>
        </w:pPr>
        <w:rPr>
          <w:rFonts w:hint="default"/>
        </w:rPr>
      </w:lvl>
    </w:lvlOverride>
    <w:lvlOverride w:ilvl="2">
      <w:lvl w:ilvl="2">
        <w:start w:val="1"/>
        <w:numFmt w:val="decimal"/>
        <w:pStyle w:val="Akapit2"/>
        <w:lvlText w:val="%1.%2.%3."/>
        <w:lvlJc w:val="left"/>
        <w:pPr>
          <w:ind w:left="1214" w:hanging="504"/>
        </w:pPr>
        <w:rPr>
          <w:rFonts w:hint="default"/>
          <w:b/>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442381512">
    <w:abstractNumId w:val="4"/>
  </w:num>
  <w:num w:numId="20" w16cid:durableId="81487810">
    <w:abstractNumId w:val="6"/>
  </w:num>
  <w:num w:numId="21" w16cid:durableId="1878736602">
    <w:abstractNumId w:val="20"/>
  </w:num>
  <w:num w:numId="22" w16cid:durableId="311912455">
    <w:abstractNumId w:val="8"/>
  </w:num>
  <w:num w:numId="23" w16cid:durableId="2053188736">
    <w:abstractNumId w:val="24"/>
  </w:num>
  <w:num w:numId="24" w16cid:durableId="1822846446">
    <w:abstractNumId w:val="12"/>
  </w:num>
  <w:num w:numId="25" w16cid:durableId="658383415">
    <w:abstractNumId w:val="21"/>
  </w:num>
  <w:num w:numId="26" w16cid:durableId="111098036">
    <w:abstractNumId w:val="29"/>
  </w:num>
  <w:num w:numId="27" w16cid:durableId="1922328944">
    <w:abstractNumId w:val="15"/>
  </w:num>
  <w:num w:numId="28" w16cid:durableId="1110778149">
    <w:abstractNumId w:val="26"/>
  </w:num>
  <w:num w:numId="29" w16cid:durableId="1932739773">
    <w:abstractNumId w:val="3"/>
    <w:lvlOverride w:ilvl="0">
      <w:startOverride w:val="1"/>
      <w:lvl w:ilvl="0">
        <w:start w:val="1"/>
        <w:numFmt w:val="decimal"/>
        <w:pStyle w:val="Nagwek1"/>
        <w:lvlText w:val="%1."/>
        <w:lvlJc w:val="left"/>
        <w:pPr>
          <w:ind w:left="360" w:hanging="360"/>
        </w:pPr>
        <w:rPr>
          <w:rFonts w:hint="default"/>
          <w:b w:val="0"/>
          <w:bCs/>
        </w:rPr>
      </w:lvl>
    </w:lvlOverride>
    <w:lvlOverride w:ilvl="1">
      <w:startOverride w:val="1"/>
      <w:lvl w:ilvl="1">
        <w:start w:val="1"/>
        <w:numFmt w:val="decimal"/>
        <w:pStyle w:val="Akapit1"/>
        <w:lvlText w:val="%1.%2."/>
        <w:lvlJc w:val="left"/>
        <w:pPr>
          <w:ind w:left="715" w:hanging="432"/>
        </w:pPr>
        <w:rPr>
          <w:rFonts w:hint="default"/>
        </w:rPr>
      </w:lvl>
    </w:lvlOverride>
    <w:lvlOverride w:ilvl="2">
      <w:startOverride w:val="1"/>
      <w:lvl w:ilvl="2">
        <w:start w:val="1"/>
        <w:numFmt w:val="decimal"/>
        <w:pStyle w:val="Akapit2"/>
        <w:lvlText w:val="%1.%2.%3."/>
        <w:lvlJc w:val="left"/>
        <w:pPr>
          <w:ind w:left="1214" w:hanging="504"/>
        </w:pPr>
        <w:rPr>
          <w:rFonts w:hint="default"/>
          <w:b/>
          <w:bCs/>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0" w16cid:durableId="1383090525">
    <w:abstractNumId w:val="18"/>
  </w:num>
  <w:num w:numId="31" w16cid:durableId="937713506">
    <w:abstractNumId w:val="10"/>
  </w:num>
  <w:num w:numId="32" w16cid:durableId="403188516">
    <w:abstractNumId w:val="14"/>
  </w:num>
  <w:num w:numId="33" w16cid:durableId="661589851">
    <w:abstractNumId w:val="28"/>
  </w:num>
  <w:num w:numId="34" w16cid:durableId="1645088023">
    <w:abstractNumId w:val="28"/>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9C4441F-AD7B-4380-975F-C343BD3B3194}"/>
  </w:docVars>
  <w:rsids>
    <w:rsidRoot w:val="00740013"/>
    <w:rsid w:val="00000B6C"/>
    <w:rsid w:val="000025C8"/>
    <w:rsid w:val="000112DC"/>
    <w:rsid w:val="000167F4"/>
    <w:rsid w:val="0002605D"/>
    <w:rsid w:val="00030139"/>
    <w:rsid w:val="000312A9"/>
    <w:rsid w:val="00031395"/>
    <w:rsid w:val="0003144F"/>
    <w:rsid w:val="00041380"/>
    <w:rsid w:val="000452ED"/>
    <w:rsid w:val="00051F35"/>
    <w:rsid w:val="00055ACC"/>
    <w:rsid w:val="0006183E"/>
    <w:rsid w:val="000666DD"/>
    <w:rsid w:val="00076CE7"/>
    <w:rsid w:val="00084617"/>
    <w:rsid w:val="00084BB1"/>
    <w:rsid w:val="00085730"/>
    <w:rsid w:val="00096DE2"/>
    <w:rsid w:val="00097478"/>
    <w:rsid w:val="000A27B2"/>
    <w:rsid w:val="000A2B28"/>
    <w:rsid w:val="000C1316"/>
    <w:rsid w:val="000C4530"/>
    <w:rsid w:val="000C4AD7"/>
    <w:rsid w:val="000D1029"/>
    <w:rsid w:val="000D6404"/>
    <w:rsid w:val="000E3A16"/>
    <w:rsid w:val="000E4E15"/>
    <w:rsid w:val="000F1B3E"/>
    <w:rsid w:val="00104AD8"/>
    <w:rsid w:val="00105B31"/>
    <w:rsid w:val="0011010B"/>
    <w:rsid w:val="001466FF"/>
    <w:rsid w:val="001525D4"/>
    <w:rsid w:val="001725DA"/>
    <w:rsid w:val="00175A8C"/>
    <w:rsid w:val="00181222"/>
    <w:rsid w:val="0018554E"/>
    <w:rsid w:val="00197898"/>
    <w:rsid w:val="001A25B6"/>
    <w:rsid w:val="001A5561"/>
    <w:rsid w:val="001A6917"/>
    <w:rsid w:val="001B0A60"/>
    <w:rsid w:val="001B7E5A"/>
    <w:rsid w:val="001C48FE"/>
    <w:rsid w:val="001D1789"/>
    <w:rsid w:val="001E0A88"/>
    <w:rsid w:val="001E598D"/>
    <w:rsid w:val="001E6B19"/>
    <w:rsid w:val="001F250D"/>
    <w:rsid w:val="001F51B6"/>
    <w:rsid w:val="002273EE"/>
    <w:rsid w:val="00236EC1"/>
    <w:rsid w:val="0023710E"/>
    <w:rsid w:val="00245266"/>
    <w:rsid w:val="002468A9"/>
    <w:rsid w:val="00247F8F"/>
    <w:rsid w:val="002532D8"/>
    <w:rsid w:val="00254EE0"/>
    <w:rsid w:val="00264C26"/>
    <w:rsid w:val="00265C54"/>
    <w:rsid w:val="00266C71"/>
    <w:rsid w:val="00272DF5"/>
    <w:rsid w:val="00273D9F"/>
    <w:rsid w:val="002843B5"/>
    <w:rsid w:val="00292872"/>
    <w:rsid w:val="002A2B3B"/>
    <w:rsid w:val="002B0173"/>
    <w:rsid w:val="002B1431"/>
    <w:rsid w:val="002B15DE"/>
    <w:rsid w:val="002C66F9"/>
    <w:rsid w:val="002D39A5"/>
    <w:rsid w:val="002E7D81"/>
    <w:rsid w:val="00305030"/>
    <w:rsid w:val="00312C2B"/>
    <w:rsid w:val="0031337F"/>
    <w:rsid w:val="0033492D"/>
    <w:rsid w:val="00342D0E"/>
    <w:rsid w:val="00343AF1"/>
    <w:rsid w:val="00346B86"/>
    <w:rsid w:val="003505BE"/>
    <w:rsid w:val="00353A5B"/>
    <w:rsid w:val="00361BDC"/>
    <w:rsid w:val="003653F0"/>
    <w:rsid w:val="003815C4"/>
    <w:rsid w:val="00382C96"/>
    <w:rsid w:val="00384C9C"/>
    <w:rsid w:val="00390908"/>
    <w:rsid w:val="00393912"/>
    <w:rsid w:val="00395886"/>
    <w:rsid w:val="00397B58"/>
    <w:rsid w:val="003A6583"/>
    <w:rsid w:val="003B0B8E"/>
    <w:rsid w:val="003B208A"/>
    <w:rsid w:val="003B30E4"/>
    <w:rsid w:val="003B57D8"/>
    <w:rsid w:val="003B6162"/>
    <w:rsid w:val="003C45E0"/>
    <w:rsid w:val="003C59D5"/>
    <w:rsid w:val="003C794B"/>
    <w:rsid w:val="003D4C08"/>
    <w:rsid w:val="003D7091"/>
    <w:rsid w:val="003E367C"/>
    <w:rsid w:val="003E74E9"/>
    <w:rsid w:val="004007A4"/>
    <w:rsid w:val="00405AA0"/>
    <w:rsid w:val="004107EE"/>
    <w:rsid w:val="004138B1"/>
    <w:rsid w:val="00424695"/>
    <w:rsid w:val="00431DDE"/>
    <w:rsid w:val="00455DEE"/>
    <w:rsid w:val="00456CD6"/>
    <w:rsid w:val="00461D40"/>
    <w:rsid w:val="0046243E"/>
    <w:rsid w:val="00464D73"/>
    <w:rsid w:val="0046676F"/>
    <w:rsid w:val="004708F2"/>
    <w:rsid w:val="00474678"/>
    <w:rsid w:val="0048566C"/>
    <w:rsid w:val="0048603B"/>
    <w:rsid w:val="0049309B"/>
    <w:rsid w:val="004A6605"/>
    <w:rsid w:val="004B0A54"/>
    <w:rsid w:val="004C22F4"/>
    <w:rsid w:val="004D2DFF"/>
    <w:rsid w:val="004F4A0F"/>
    <w:rsid w:val="004F580F"/>
    <w:rsid w:val="00503300"/>
    <w:rsid w:val="00513028"/>
    <w:rsid w:val="00520D4B"/>
    <w:rsid w:val="005255BF"/>
    <w:rsid w:val="0053326D"/>
    <w:rsid w:val="005421BA"/>
    <w:rsid w:val="005533D4"/>
    <w:rsid w:val="00561E06"/>
    <w:rsid w:val="005738F4"/>
    <w:rsid w:val="00580B2C"/>
    <w:rsid w:val="00584313"/>
    <w:rsid w:val="005B0A67"/>
    <w:rsid w:val="005C17A6"/>
    <w:rsid w:val="005C3C56"/>
    <w:rsid w:val="005D3660"/>
    <w:rsid w:val="005E20BB"/>
    <w:rsid w:val="005E37CA"/>
    <w:rsid w:val="005E383E"/>
    <w:rsid w:val="005E4BA7"/>
    <w:rsid w:val="005F2F19"/>
    <w:rsid w:val="006149ED"/>
    <w:rsid w:val="00632E54"/>
    <w:rsid w:val="00642156"/>
    <w:rsid w:val="0064584A"/>
    <w:rsid w:val="00657C75"/>
    <w:rsid w:val="006646BE"/>
    <w:rsid w:val="00682D91"/>
    <w:rsid w:val="0069454F"/>
    <w:rsid w:val="006973CD"/>
    <w:rsid w:val="006A061D"/>
    <w:rsid w:val="006D16F2"/>
    <w:rsid w:val="006E56FF"/>
    <w:rsid w:val="006F3BEC"/>
    <w:rsid w:val="006F4E7F"/>
    <w:rsid w:val="00707F50"/>
    <w:rsid w:val="00714083"/>
    <w:rsid w:val="00714B9C"/>
    <w:rsid w:val="0071511D"/>
    <w:rsid w:val="0072447C"/>
    <w:rsid w:val="00730E31"/>
    <w:rsid w:val="00736952"/>
    <w:rsid w:val="00737218"/>
    <w:rsid w:val="007378AE"/>
    <w:rsid w:val="00740013"/>
    <w:rsid w:val="007519FF"/>
    <w:rsid w:val="00751BAC"/>
    <w:rsid w:val="00752D80"/>
    <w:rsid w:val="00764BBD"/>
    <w:rsid w:val="007660B9"/>
    <w:rsid w:val="00774C99"/>
    <w:rsid w:val="00787A74"/>
    <w:rsid w:val="00791DAF"/>
    <w:rsid w:val="0079650A"/>
    <w:rsid w:val="007B0F49"/>
    <w:rsid w:val="007E5768"/>
    <w:rsid w:val="007F1FC5"/>
    <w:rsid w:val="008003AF"/>
    <w:rsid w:val="00802CF7"/>
    <w:rsid w:val="00805BFD"/>
    <w:rsid w:val="008173DB"/>
    <w:rsid w:val="00824E78"/>
    <w:rsid w:val="0083253B"/>
    <w:rsid w:val="008340EF"/>
    <w:rsid w:val="008350CD"/>
    <w:rsid w:val="0083627F"/>
    <w:rsid w:val="0084670E"/>
    <w:rsid w:val="00853EED"/>
    <w:rsid w:val="00864CF3"/>
    <w:rsid w:val="0086532C"/>
    <w:rsid w:val="00867D6A"/>
    <w:rsid w:val="0088104B"/>
    <w:rsid w:val="008952D2"/>
    <w:rsid w:val="008B096B"/>
    <w:rsid w:val="008B2BCC"/>
    <w:rsid w:val="008B59F8"/>
    <w:rsid w:val="008C1873"/>
    <w:rsid w:val="008C2101"/>
    <w:rsid w:val="008D002E"/>
    <w:rsid w:val="008E2482"/>
    <w:rsid w:val="008F0F7D"/>
    <w:rsid w:val="00901D2D"/>
    <w:rsid w:val="00904D3A"/>
    <w:rsid w:val="0091095B"/>
    <w:rsid w:val="00924BC6"/>
    <w:rsid w:val="00930661"/>
    <w:rsid w:val="00935C98"/>
    <w:rsid w:val="00942803"/>
    <w:rsid w:val="0094629F"/>
    <w:rsid w:val="00947C15"/>
    <w:rsid w:val="00954028"/>
    <w:rsid w:val="00955BFE"/>
    <w:rsid w:val="009709DE"/>
    <w:rsid w:val="009736C7"/>
    <w:rsid w:val="0098285A"/>
    <w:rsid w:val="00996D92"/>
    <w:rsid w:val="009A4BE3"/>
    <w:rsid w:val="009B5E61"/>
    <w:rsid w:val="009C07A1"/>
    <w:rsid w:val="009D0038"/>
    <w:rsid w:val="009D67D0"/>
    <w:rsid w:val="009E1B8C"/>
    <w:rsid w:val="009F1791"/>
    <w:rsid w:val="00A007F2"/>
    <w:rsid w:val="00A01BE5"/>
    <w:rsid w:val="00A02733"/>
    <w:rsid w:val="00A13CF7"/>
    <w:rsid w:val="00A225DD"/>
    <w:rsid w:val="00A3270D"/>
    <w:rsid w:val="00A4201B"/>
    <w:rsid w:val="00A45AF3"/>
    <w:rsid w:val="00A60104"/>
    <w:rsid w:val="00A70493"/>
    <w:rsid w:val="00A82FF8"/>
    <w:rsid w:val="00A8346E"/>
    <w:rsid w:val="00AA291A"/>
    <w:rsid w:val="00AA4234"/>
    <w:rsid w:val="00AA5E96"/>
    <w:rsid w:val="00AB2696"/>
    <w:rsid w:val="00AC14AC"/>
    <w:rsid w:val="00AC3D3C"/>
    <w:rsid w:val="00AD3ECC"/>
    <w:rsid w:val="00AE3E19"/>
    <w:rsid w:val="00B023D2"/>
    <w:rsid w:val="00B05F37"/>
    <w:rsid w:val="00B17F52"/>
    <w:rsid w:val="00B35B58"/>
    <w:rsid w:val="00B4099A"/>
    <w:rsid w:val="00B44200"/>
    <w:rsid w:val="00B46234"/>
    <w:rsid w:val="00B7266E"/>
    <w:rsid w:val="00B92229"/>
    <w:rsid w:val="00B92E3C"/>
    <w:rsid w:val="00BA1058"/>
    <w:rsid w:val="00BA1E21"/>
    <w:rsid w:val="00BB0961"/>
    <w:rsid w:val="00BB510F"/>
    <w:rsid w:val="00BB5FED"/>
    <w:rsid w:val="00BC22CD"/>
    <w:rsid w:val="00BC644A"/>
    <w:rsid w:val="00BD23B1"/>
    <w:rsid w:val="00BE571E"/>
    <w:rsid w:val="00BE6F8A"/>
    <w:rsid w:val="00BF73A6"/>
    <w:rsid w:val="00C12708"/>
    <w:rsid w:val="00C14BA9"/>
    <w:rsid w:val="00C15E51"/>
    <w:rsid w:val="00C16EFD"/>
    <w:rsid w:val="00C301AB"/>
    <w:rsid w:val="00C342F1"/>
    <w:rsid w:val="00C34C49"/>
    <w:rsid w:val="00C36889"/>
    <w:rsid w:val="00C368CE"/>
    <w:rsid w:val="00C44B48"/>
    <w:rsid w:val="00C628E6"/>
    <w:rsid w:val="00C64293"/>
    <w:rsid w:val="00C67292"/>
    <w:rsid w:val="00C67D5D"/>
    <w:rsid w:val="00C74FF7"/>
    <w:rsid w:val="00C75BB8"/>
    <w:rsid w:val="00C9207C"/>
    <w:rsid w:val="00C93911"/>
    <w:rsid w:val="00CA4798"/>
    <w:rsid w:val="00CB0098"/>
    <w:rsid w:val="00CB7F32"/>
    <w:rsid w:val="00CC0F95"/>
    <w:rsid w:val="00CD177E"/>
    <w:rsid w:val="00CD730D"/>
    <w:rsid w:val="00CE11C8"/>
    <w:rsid w:val="00CE4859"/>
    <w:rsid w:val="00CE5504"/>
    <w:rsid w:val="00D00677"/>
    <w:rsid w:val="00D020EB"/>
    <w:rsid w:val="00D13E46"/>
    <w:rsid w:val="00D15B87"/>
    <w:rsid w:val="00D16F28"/>
    <w:rsid w:val="00D27006"/>
    <w:rsid w:val="00D278A1"/>
    <w:rsid w:val="00D377F7"/>
    <w:rsid w:val="00D572C7"/>
    <w:rsid w:val="00D631BC"/>
    <w:rsid w:val="00D654DE"/>
    <w:rsid w:val="00D75520"/>
    <w:rsid w:val="00D80F4E"/>
    <w:rsid w:val="00D853F6"/>
    <w:rsid w:val="00DA08FE"/>
    <w:rsid w:val="00DA4ADF"/>
    <w:rsid w:val="00DA6CC2"/>
    <w:rsid w:val="00DC143F"/>
    <w:rsid w:val="00DC1572"/>
    <w:rsid w:val="00DD1EAC"/>
    <w:rsid w:val="00DD6F1E"/>
    <w:rsid w:val="00DE148C"/>
    <w:rsid w:val="00DE7030"/>
    <w:rsid w:val="00DF57EC"/>
    <w:rsid w:val="00DF5CDE"/>
    <w:rsid w:val="00E038FB"/>
    <w:rsid w:val="00E05342"/>
    <w:rsid w:val="00E20DE1"/>
    <w:rsid w:val="00E21D11"/>
    <w:rsid w:val="00E3105B"/>
    <w:rsid w:val="00E31E7A"/>
    <w:rsid w:val="00E46620"/>
    <w:rsid w:val="00E46ADD"/>
    <w:rsid w:val="00E475AB"/>
    <w:rsid w:val="00E53D21"/>
    <w:rsid w:val="00E56B49"/>
    <w:rsid w:val="00E66AAC"/>
    <w:rsid w:val="00E72180"/>
    <w:rsid w:val="00E7331F"/>
    <w:rsid w:val="00E7490B"/>
    <w:rsid w:val="00E75ED6"/>
    <w:rsid w:val="00E77EDA"/>
    <w:rsid w:val="00E83B47"/>
    <w:rsid w:val="00E93A29"/>
    <w:rsid w:val="00E96817"/>
    <w:rsid w:val="00EA2794"/>
    <w:rsid w:val="00EB6846"/>
    <w:rsid w:val="00ED2CE2"/>
    <w:rsid w:val="00EF2822"/>
    <w:rsid w:val="00EF3F8E"/>
    <w:rsid w:val="00F0017E"/>
    <w:rsid w:val="00F146AF"/>
    <w:rsid w:val="00F16AB8"/>
    <w:rsid w:val="00F216AD"/>
    <w:rsid w:val="00F52EC7"/>
    <w:rsid w:val="00F6204D"/>
    <w:rsid w:val="00F6347F"/>
    <w:rsid w:val="00F65F15"/>
    <w:rsid w:val="00F7016F"/>
    <w:rsid w:val="00F7181A"/>
    <w:rsid w:val="00F72375"/>
    <w:rsid w:val="00F84020"/>
    <w:rsid w:val="00F962C6"/>
    <w:rsid w:val="00F973DE"/>
    <w:rsid w:val="00FA421F"/>
    <w:rsid w:val="00FB007E"/>
    <w:rsid w:val="00FB7AFD"/>
    <w:rsid w:val="00FC34ED"/>
    <w:rsid w:val="00FD2233"/>
    <w:rsid w:val="00FD6F1D"/>
    <w:rsid w:val="00FD7ACF"/>
    <w:rsid w:val="00FE2ECC"/>
    <w:rsid w:val="00FE446B"/>
    <w:rsid w:val="00FF5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1C82F"/>
  <w15:docId w15:val="{9824B316-44F8-479D-AD2F-1FF64822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028"/>
    <w:pPr>
      <w:spacing w:before="120" w:after="0" w:line="269" w:lineRule="auto"/>
      <w:ind w:left="425"/>
      <w:jc w:val="both"/>
    </w:pPr>
    <w:rPr>
      <w:rFonts w:ascii="Open Sans" w:eastAsia="Times New Roman" w:hAnsi="Open Sans" w:cs="Open Sans"/>
      <w:bCs/>
      <w:kern w:val="0"/>
      <w:sz w:val="20"/>
      <w:szCs w:val="20"/>
      <w:lang w:eastAsia="pl-PL"/>
      <w14:ligatures w14:val="none"/>
    </w:rPr>
  </w:style>
  <w:style w:type="paragraph" w:styleId="Nagwek1">
    <w:name w:val="heading 1"/>
    <w:basedOn w:val="Normalny"/>
    <w:next w:val="Normalny"/>
    <w:link w:val="Nagwek1Znak"/>
    <w:uiPriority w:val="9"/>
    <w:qFormat/>
    <w:rsid w:val="006A061D"/>
    <w:pPr>
      <w:keepNext/>
      <w:keepLines/>
      <w:numPr>
        <w:numId w:val="7"/>
      </w:numPr>
      <w:spacing w:before="240" w:after="120"/>
      <w:outlineLvl w:val="0"/>
    </w:pPr>
    <w:rPr>
      <w:rFonts w:eastAsiaTheme="majorEastAsia"/>
      <w:b/>
      <w:bCs w:val="0"/>
    </w:rPr>
  </w:style>
  <w:style w:type="paragraph" w:styleId="Nagwek2">
    <w:name w:val="heading 2"/>
    <w:basedOn w:val="Normalny"/>
    <w:next w:val="Normalny"/>
    <w:link w:val="Nagwek2Znak"/>
    <w:uiPriority w:val="9"/>
    <w:semiHidden/>
    <w:unhideWhenUsed/>
    <w:qFormat/>
    <w:rsid w:val="00D278A1"/>
    <w:pPr>
      <w:keepNext/>
      <w:keepLines/>
      <w:numPr>
        <w:ilvl w:val="1"/>
        <w:numId w:val="5"/>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278A1"/>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semiHidden/>
    <w:unhideWhenUsed/>
    <w:qFormat/>
    <w:rsid w:val="00D278A1"/>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D278A1"/>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D278A1"/>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D278A1"/>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D278A1"/>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D278A1"/>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iso-tekst">
    <w:name w:val="iso-tekst"/>
    <w:basedOn w:val="Normalny"/>
    <w:rsid w:val="00F6347F"/>
    <w:pPr>
      <w:spacing w:line="360" w:lineRule="auto"/>
    </w:pPr>
  </w:style>
  <w:style w:type="paragraph" w:styleId="Nagwek">
    <w:name w:val="header"/>
    <w:basedOn w:val="Normalny"/>
    <w:link w:val="NagwekZnak"/>
    <w:uiPriority w:val="99"/>
    <w:rsid w:val="00F6347F"/>
    <w:pPr>
      <w:tabs>
        <w:tab w:val="center" w:pos="4536"/>
        <w:tab w:val="right" w:pos="9072"/>
      </w:tabs>
    </w:pPr>
  </w:style>
  <w:style w:type="character" w:customStyle="1" w:styleId="NagwekZnak">
    <w:name w:val="Nagłówek Znak"/>
    <w:basedOn w:val="Domylnaczcionkaakapitu"/>
    <w:link w:val="Nagwek"/>
    <w:uiPriority w:val="99"/>
    <w:rsid w:val="00F6347F"/>
    <w:rPr>
      <w:rFonts w:ascii="Cambria" w:eastAsia="Times New Roman" w:hAnsi="Cambria" w:cs="Times New Roman"/>
      <w:kern w:val="0"/>
      <w:sz w:val="24"/>
      <w:szCs w:val="24"/>
      <w:lang w:eastAsia="pl-PL"/>
      <w14:ligatures w14:val="none"/>
    </w:rPr>
  </w:style>
  <w:style w:type="paragraph" w:styleId="Stopka">
    <w:name w:val="footer"/>
    <w:basedOn w:val="Normalny"/>
    <w:link w:val="StopkaZnak"/>
    <w:uiPriority w:val="99"/>
    <w:rsid w:val="00F6347F"/>
    <w:pPr>
      <w:tabs>
        <w:tab w:val="center" w:pos="4536"/>
        <w:tab w:val="right" w:pos="9072"/>
      </w:tabs>
    </w:pPr>
  </w:style>
  <w:style w:type="character" w:customStyle="1" w:styleId="StopkaZnak">
    <w:name w:val="Stopka Znak"/>
    <w:basedOn w:val="Domylnaczcionkaakapitu"/>
    <w:link w:val="Stopka"/>
    <w:uiPriority w:val="99"/>
    <w:rsid w:val="00F6347F"/>
    <w:rPr>
      <w:rFonts w:ascii="Cambria" w:eastAsia="Times New Roman" w:hAnsi="Cambria" w:cs="Times New Roman"/>
      <w:kern w:val="0"/>
      <w:sz w:val="24"/>
      <w:szCs w:val="24"/>
      <w:lang w:eastAsia="pl-PL"/>
      <w14:ligatures w14:val="none"/>
    </w:rPr>
  </w:style>
  <w:style w:type="paragraph" w:styleId="Spistreci1">
    <w:name w:val="toc 1"/>
    <w:basedOn w:val="Normalny"/>
    <w:next w:val="Normalny"/>
    <w:uiPriority w:val="39"/>
    <w:rsid w:val="00F6347F"/>
    <w:pPr>
      <w:spacing w:before="240"/>
      <w:ind w:left="992" w:hanging="992"/>
    </w:pPr>
    <w:rPr>
      <w:rFonts w:ascii="Calibri" w:hAnsi="Calibri"/>
      <w:b/>
      <w:bCs w:val="0"/>
      <w:caps/>
      <w:sz w:val="22"/>
    </w:rPr>
  </w:style>
  <w:style w:type="paragraph" w:styleId="Tytu">
    <w:name w:val="Title"/>
    <w:basedOn w:val="Normalny"/>
    <w:next w:val="Podtytu"/>
    <w:link w:val="TytuZnak"/>
    <w:uiPriority w:val="99"/>
    <w:qFormat/>
    <w:rsid w:val="00F6347F"/>
    <w:rPr>
      <w:b/>
      <w:i/>
      <w:spacing w:val="5"/>
      <w:kern w:val="28"/>
      <w:sz w:val="56"/>
      <w:szCs w:val="52"/>
      <w:lang w:eastAsia="ja-JP"/>
    </w:rPr>
  </w:style>
  <w:style w:type="character" w:customStyle="1" w:styleId="TytuZnak">
    <w:name w:val="Tytuł Znak"/>
    <w:basedOn w:val="Domylnaczcionkaakapitu"/>
    <w:link w:val="Tytu"/>
    <w:uiPriority w:val="99"/>
    <w:rsid w:val="00F6347F"/>
    <w:rPr>
      <w:rFonts w:ascii="Cambria" w:eastAsia="Times New Roman" w:hAnsi="Cambria" w:cs="Times New Roman"/>
      <w:b/>
      <w:i/>
      <w:spacing w:val="5"/>
      <w:kern w:val="28"/>
      <w:sz w:val="56"/>
      <w:szCs w:val="52"/>
      <w:lang w:eastAsia="ja-JP"/>
      <w14:ligatures w14:val="none"/>
    </w:rPr>
  </w:style>
  <w:style w:type="paragraph" w:styleId="Podtytu">
    <w:name w:val="Subtitle"/>
    <w:basedOn w:val="Normalny"/>
    <w:next w:val="Normalny"/>
    <w:link w:val="PodtytuZnak"/>
    <w:uiPriority w:val="11"/>
    <w:qFormat/>
    <w:rsid w:val="00F6347F"/>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F6347F"/>
    <w:rPr>
      <w:rFonts w:ascii="Calibri Light" w:eastAsia="Times New Roman" w:hAnsi="Calibri Light" w:cs="Times New Roman"/>
      <w:kern w:val="0"/>
      <w:sz w:val="24"/>
      <w:szCs w:val="24"/>
      <w:lang w:eastAsia="pl-PL"/>
      <w14:ligatures w14:val="none"/>
    </w:rPr>
  </w:style>
  <w:style w:type="paragraph" w:styleId="Akapitzlist">
    <w:name w:val="List Paragraph"/>
    <w:basedOn w:val="Normalny"/>
    <w:link w:val="AkapitzlistZnak"/>
    <w:uiPriority w:val="34"/>
    <w:qFormat/>
    <w:rsid w:val="00954028"/>
    <w:pPr>
      <w:ind w:left="720" w:hanging="425"/>
      <w:contextualSpacing/>
    </w:pPr>
    <w:rPr>
      <w:rFonts w:eastAsia="Calibri"/>
      <w:szCs w:val="22"/>
      <w:lang w:eastAsia="en-US"/>
    </w:rPr>
  </w:style>
  <w:style w:type="character" w:styleId="Odwoaniedokomentarza">
    <w:name w:val="annotation reference"/>
    <w:uiPriority w:val="99"/>
    <w:semiHidden/>
    <w:unhideWhenUsed/>
    <w:rsid w:val="00F6347F"/>
    <w:rPr>
      <w:sz w:val="16"/>
      <w:szCs w:val="16"/>
    </w:rPr>
  </w:style>
  <w:style w:type="paragraph" w:styleId="Tekstkomentarza">
    <w:name w:val="annotation text"/>
    <w:basedOn w:val="Normalny"/>
    <w:link w:val="TekstkomentarzaZnak"/>
    <w:uiPriority w:val="99"/>
    <w:unhideWhenUsed/>
    <w:rsid w:val="00F6347F"/>
  </w:style>
  <w:style w:type="character" w:customStyle="1" w:styleId="TekstkomentarzaZnak">
    <w:name w:val="Tekst komentarza Znak"/>
    <w:basedOn w:val="Domylnaczcionkaakapitu"/>
    <w:link w:val="Tekstkomentarza"/>
    <w:uiPriority w:val="99"/>
    <w:rsid w:val="00F6347F"/>
    <w:rPr>
      <w:rFonts w:ascii="Cambria" w:eastAsia="Times New Roman" w:hAnsi="Cambria" w:cs="Times New Roman"/>
      <w:kern w:val="0"/>
      <w:sz w:val="20"/>
      <w:szCs w:val="20"/>
      <w:lang w:eastAsia="pl-PL"/>
      <w14:ligatures w14:val="none"/>
    </w:rPr>
  </w:style>
  <w:style w:type="character" w:customStyle="1" w:styleId="AkapitzlistZnak">
    <w:name w:val="Akapit z listą Znak"/>
    <w:basedOn w:val="Domylnaczcionkaakapitu"/>
    <w:link w:val="Akapitzlist"/>
    <w:uiPriority w:val="34"/>
    <w:locked/>
    <w:rsid w:val="00954028"/>
    <w:rPr>
      <w:rFonts w:ascii="Open Sans" w:eastAsia="Calibri" w:hAnsi="Open Sans" w:cs="Open Sans"/>
      <w:bCs/>
      <w:kern w:val="0"/>
      <w:sz w:val="20"/>
      <w14:ligatures w14:val="none"/>
    </w:rPr>
  </w:style>
  <w:style w:type="character" w:customStyle="1" w:styleId="Teksttreci3">
    <w:name w:val="Tekst treści (3)"/>
    <w:basedOn w:val="Domylnaczcionkaakapitu"/>
    <w:rsid w:val="00F6347F"/>
    <w:rPr>
      <w:rFonts w:ascii="Calibri" w:eastAsia="Calibri" w:hAnsi="Calibri" w:cs="Calibri"/>
      <w:b w:val="0"/>
      <w:bCs w:val="0"/>
      <w:i w:val="0"/>
      <w:iCs w:val="0"/>
      <w:smallCaps w:val="0"/>
      <w:strike w:val="0"/>
      <w:color w:val="000000"/>
      <w:spacing w:val="0"/>
      <w:w w:val="100"/>
      <w:position w:val="0"/>
      <w:sz w:val="72"/>
      <w:szCs w:val="72"/>
      <w:u w:val="none"/>
      <w:lang w:val="en-GB" w:eastAsia="pl-PL" w:bidi="pl-PL"/>
    </w:rPr>
  </w:style>
  <w:style w:type="paragraph" w:styleId="Tematkomentarza">
    <w:name w:val="annotation subject"/>
    <w:basedOn w:val="Tekstkomentarza"/>
    <w:next w:val="Tekstkomentarza"/>
    <w:link w:val="TematkomentarzaZnak"/>
    <w:uiPriority w:val="99"/>
    <w:semiHidden/>
    <w:unhideWhenUsed/>
    <w:rsid w:val="00F6347F"/>
    <w:rPr>
      <w:b/>
      <w:bCs w:val="0"/>
    </w:rPr>
  </w:style>
  <w:style w:type="character" w:customStyle="1" w:styleId="TematkomentarzaZnak">
    <w:name w:val="Temat komentarza Znak"/>
    <w:basedOn w:val="TekstkomentarzaZnak"/>
    <w:link w:val="Tematkomentarza"/>
    <w:uiPriority w:val="99"/>
    <w:semiHidden/>
    <w:rsid w:val="00F6347F"/>
    <w:rPr>
      <w:rFonts w:ascii="Cambria" w:eastAsia="Times New Roman" w:hAnsi="Cambria" w:cs="Times New Roman"/>
      <w:b/>
      <w:bCs/>
      <w:kern w:val="0"/>
      <w:sz w:val="20"/>
      <w:szCs w:val="20"/>
      <w:lang w:eastAsia="pl-PL"/>
      <w14:ligatures w14:val="none"/>
    </w:rPr>
  </w:style>
  <w:style w:type="paragraph" w:styleId="Poprawka">
    <w:name w:val="Revision"/>
    <w:hidden/>
    <w:uiPriority w:val="99"/>
    <w:semiHidden/>
    <w:rsid w:val="0094629F"/>
    <w:pPr>
      <w:spacing w:after="0" w:line="240" w:lineRule="auto"/>
    </w:pPr>
    <w:rPr>
      <w:rFonts w:ascii="Cambria" w:eastAsia="Times New Roman" w:hAnsi="Cambria" w:cs="Times New Roman"/>
      <w:kern w:val="0"/>
      <w:sz w:val="24"/>
      <w:szCs w:val="24"/>
      <w:lang w:eastAsia="pl-PL"/>
      <w14:ligatures w14:val="none"/>
    </w:rPr>
  </w:style>
  <w:style w:type="character" w:customStyle="1" w:styleId="cf01">
    <w:name w:val="cf01"/>
    <w:basedOn w:val="Domylnaczcionkaakapitu"/>
    <w:rsid w:val="00C74FF7"/>
    <w:rPr>
      <w:rFonts w:ascii="Segoe UI" w:hAnsi="Segoe UI" w:cs="Segoe UI" w:hint="default"/>
      <w:b/>
      <w:bCs/>
      <w:sz w:val="18"/>
      <w:szCs w:val="18"/>
    </w:rPr>
  </w:style>
  <w:style w:type="character" w:customStyle="1" w:styleId="cf11">
    <w:name w:val="cf11"/>
    <w:basedOn w:val="Domylnaczcionkaakapitu"/>
    <w:rsid w:val="00C74FF7"/>
    <w:rPr>
      <w:rFonts w:ascii="Segoe UI" w:hAnsi="Segoe UI" w:cs="Segoe UI" w:hint="default"/>
      <w:sz w:val="18"/>
      <w:szCs w:val="18"/>
    </w:rPr>
  </w:style>
  <w:style w:type="character" w:customStyle="1" w:styleId="markedcontent">
    <w:name w:val="markedcontent"/>
    <w:basedOn w:val="Domylnaczcionkaakapitu"/>
    <w:rsid w:val="0084670E"/>
  </w:style>
  <w:style w:type="table" w:styleId="Tabela-Siatka">
    <w:name w:val="Table Grid"/>
    <w:basedOn w:val="Standardowy"/>
    <w:uiPriority w:val="39"/>
    <w:rsid w:val="00F8402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84020"/>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F84020"/>
    <w:rPr>
      <w:kern w:val="0"/>
      <w:sz w:val="20"/>
      <w:szCs w:val="20"/>
      <w14:ligatures w14:val="none"/>
    </w:rPr>
  </w:style>
  <w:style w:type="character" w:styleId="Odwoanieprzypisudolnego">
    <w:name w:val="footnote reference"/>
    <w:basedOn w:val="Domylnaczcionkaakapitu"/>
    <w:uiPriority w:val="99"/>
    <w:semiHidden/>
    <w:unhideWhenUsed/>
    <w:rsid w:val="00F84020"/>
    <w:rPr>
      <w:vertAlign w:val="superscript"/>
    </w:rPr>
  </w:style>
  <w:style w:type="paragraph" w:styleId="Tekstpodstawowywcity">
    <w:name w:val="Body Text Indent"/>
    <w:basedOn w:val="Normalny"/>
    <w:link w:val="TekstpodstawowywcityZnak"/>
    <w:uiPriority w:val="99"/>
    <w:unhideWhenUsed/>
    <w:rsid w:val="00F84020"/>
    <w:pPr>
      <w:spacing w:after="120" w:line="256" w:lineRule="auto"/>
      <w:ind w:left="283"/>
    </w:pPr>
    <w:rPr>
      <w:rFonts w:asciiTheme="minorHAnsi" w:eastAsiaTheme="minorHAnsi"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rsid w:val="00F84020"/>
    <w:rPr>
      <w:kern w:val="0"/>
      <w14:ligatures w14:val="none"/>
    </w:rPr>
  </w:style>
  <w:style w:type="character" w:styleId="Hipercze">
    <w:name w:val="Hyperlink"/>
    <w:basedOn w:val="Domylnaczcionkaakapitu"/>
    <w:uiPriority w:val="99"/>
    <w:unhideWhenUsed/>
    <w:rsid w:val="00041380"/>
    <w:rPr>
      <w:color w:val="0563C1" w:themeColor="hyperlink"/>
      <w:u w:val="single"/>
    </w:rPr>
  </w:style>
  <w:style w:type="character" w:styleId="Nierozpoznanawzmianka">
    <w:name w:val="Unresolved Mention"/>
    <w:basedOn w:val="Domylnaczcionkaakapitu"/>
    <w:uiPriority w:val="99"/>
    <w:semiHidden/>
    <w:unhideWhenUsed/>
    <w:rsid w:val="00041380"/>
    <w:rPr>
      <w:color w:val="605E5C"/>
      <w:shd w:val="clear" w:color="auto" w:fill="E1DFDD"/>
    </w:rPr>
  </w:style>
  <w:style w:type="character" w:customStyle="1" w:styleId="Nagwek1Znak">
    <w:name w:val="Nagłówek 1 Znak"/>
    <w:basedOn w:val="Domylnaczcionkaakapitu"/>
    <w:link w:val="Nagwek1"/>
    <w:uiPriority w:val="9"/>
    <w:rsid w:val="006A061D"/>
    <w:rPr>
      <w:rFonts w:ascii="Open Sans" w:eastAsiaTheme="majorEastAsia" w:hAnsi="Open Sans" w:cs="Open Sans"/>
      <w:b/>
      <w:kern w:val="0"/>
      <w:sz w:val="20"/>
      <w:szCs w:val="20"/>
      <w:lang w:eastAsia="pl-PL"/>
      <w14:ligatures w14:val="none"/>
    </w:rPr>
  </w:style>
  <w:style w:type="character" w:customStyle="1" w:styleId="Nagwek2Znak">
    <w:name w:val="Nagłówek 2 Znak"/>
    <w:basedOn w:val="Domylnaczcionkaakapitu"/>
    <w:link w:val="Nagwek2"/>
    <w:uiPriority w:val="9"/>
    <w:semiHidden/>
    <w:rsid w:val="00D278A1"/>
    <w:rPr>
      <w:rFonts w:asciiTheme="majorHAnsi" w:eastAsiaTheme="majorEastAsia" w:hAnsiTheme="majorHAnsi" w:cstheme="majorBidi"/>
      <w:bCs/>
      <w:color w:val="2F5496" w:themeColor="accent1" w:themeShade="BF"/>
      <w:kern w:val="0"/>
      <w:sz w:val="26"/>
      <w:szCs w:val="26"/>
      <w:lang w:eastAsia="pl-PL"/>
      <w14:ligatures w14:val="none"/>
    </w:rPr>
  </w:style>
  <w:style w:type="character" w:customStyle="1" w:styleId="Nagwek3Znak">
    <w:name w:val="Nagłówek 3 Znak"/>
    <w:basedOn w:val="Domylnaczcionkaakapitu"/>
    <w:link w:val="Nagwek3"/>
    <w:uiPriority w:val="9"/>
    <w:semiHidden/>
    <w:rsid w:val="00D278A1"/>
    <w:rPr>
      <w:rFonts w:asciiTheme="majorHAnsi" w:eastAsiaTheme="majorEastAsia" w:hAnsiTheme="majorHAnsi" w:cstheme="majorBidi"/>
      <w:bCs/>
      <w:color w:val="1F3763" w:themeColor="accent1" w:themeShade="7F"/>
      <w:kern w:val="0"/>
      <w:sz w:val="20"/>
      <w:szCs w:val="20"/>
      <w:lang w:eastAsia="pl-PL"/>
      <w14:ligatures w14:val="none"/>
    </w:rPr>
  </w:style>
  <w:style w:type="character" w:customStyle="1" w:styleId="Nagwek4Znak">
    <w:name w:val="Nagłówek 4 Znak"/>
    <w:basedOn w:val="Domylnaczcionkaakapitu"/>
    <w:link w:val="Nagwek4"/>
    <w:uiPriority w:val="9"/>
    <w:semiHidden/>
    <w:rsid w:val="00D278A1"/>
    <w:rPr>
      <w:rFonts w:asciiTheme="majorHAnsi" w:eastAsiaTheme="majorEastAsia" w:hAnsiTheme="majorHAnsi" w:cstheme="majorBidi"/>
      <w:bCs/>
      <w:i/>
      <w:iCs/>
      <w:color w:val="2F5496" w:themeColor="accent1" w:themeShade="BF"/>
      <w:kern w:val="0"/>
      <w:sz w:val="20"/>
      <w:szCs w:val="20"/>
      <w:lang w:eastAsia="pl-PL"/>
      <w14:ligatures w14:val="none"/>
    </w:rPr>
  </w:style>
  <w:style w:type="character" w:customStyle="1" w:styleId="Nagwek5Znak">
    <w:name w:val="Nagłówek 5 Znak"/>
    <w:basedOn w:val="Domylnaczcionkaakapitu"/>
    <w:link w:val="Nagwek5"/>
    <w:uiPriority w:val="9"/>
    <w:semiHidden/>
    <w:rsid w:val="00D278A1"/>
    <w:rPr>
      <w:rFonts w:asciiTheme="majorHAnsi" w:eastAsiaTheme="majorEastAsia" w:hAnsiTheme="majorHAnsi" w:cstheme="majorBidi"/>
      <w:bCs/>
      <w:color w:val="2F5496" w:themeColor="accent1" w:themeShade="BF"/>
      <w:kern w:val="0"/>
      <w:sz w:val="20"/>
      <w:szCs w:val="20"/>
      <w:lang w:eastAsia="pl-PL"/>
      <w14:ligatures w14:val="none"/>
    </w:rPr>
  </w:style>
  <w:style w:type="character" w:customStyle="1" w:styleId="Nagwek6Znak">
    <w:name w:val="Nagłówek 6 Znak"/>
    <w:basedOn w:val="Domylnaczcionkaakapitu"/>
    <w:link w:val="Nagwek6"/>
    <w:uiPriority w:val="9"/>
    <w:semiHidden/>
    <w:rsid w:val="00D278A1"/>
    <w:rPr>
      <w:rFonts w:asciiTheme="majorHAnsi" w:eastAsiaTheme="majorEastAsia" w:hAnsiTheme="majorHAnsi" w:cstheme="majorBidi"/>
      <w:bCs/>
      <w:color w:val="1F3763" w:themeColor="accent1" w:themeShade="7F"/>
      <w:kern w:val="0"/>
      <w:sz w:val="20"/>
      <w:szCs w:val="20"/>
      <w:lang w:eastAsia="pl-PL"/>
      <w14:ligatures w14:val="none"/>
    </w:rPr>
  </w:style>
  <w:style w:type="character" w:customStyle="1" w:styleId="Nagwek7Znak">
    <w:name w:val="Nagłówek 7 Znak"/>
    <w:basedOn w:val="Domylnaczcionkaakapitu"/>
    <w:link w:val="Nagwek7"/>
    <w:uiPriority w:val="9"/>
    <w:semiHidden/>
    <w:rsid w:val="00D278A1"/>
    <w:rPr>
      <w:rFonts w:asciiTheme="majorHAnsi" w:eastAsiaTheme="majorEastAsia" w:hAnsiTheme="majorHAnsi" w:cstheme="majorBidi"/>
      <w:bCs/>
      <w:i/>
      <w:iCs/>
      <w:color w:val="1F3763" w:themeColor="accent1" w:themeShade="7F"/>
      <w:kern w:val="0"/>
      <w:sz w:val="20"/>
      <w:szCs w:val="20"/>
      <w:lang w:eastAsia="pl-PL"/>
      <w14:ligatures w14:val="none"/>
    </w:rPr>
  </w:style>
  <w:style w:type="character" w:customStyle="1" w:styleId="Nagwek8Znak">
    <w:name w:val="Nagłówek 8 Znak"/>
    <w:basedOn w:val="Domylnaczcionkaakapitu"/>
    <w:link w:val="Nagwek8"/>
    <w:uiPriority w:val="9"/>
    <w:semiHidden/>
    <w:rsid w:val="00D278A1"/>
    <w:rPr>
      <w:rFonts w:asciiTheme="majorHAnsi" w:eastAsiaTheme="majorEastAsia" w:hAnsiTheme="majorHAnsi" w:cstheme="majorBidi"/>
      <w:bCs/>
      <w:color w:val="272727" w:themeColor="text1" w:themeTint="D8"/>
      <w:kern w:val="0"/>
      <w:sz w:val="21"/>
      <w:szCs w:val="21"/>
      <w:lang w:eastAsia="pl-PL"/>
      <w14:ligatures w14:val="none"/>
    </w:rPr>
  </w:style>
  <w:style w:type="character" w:customStyle="1" w:styleId="Nagwek9Znak">
    <w:name w:val="Nagłówek 9 Znak"/>
    <w:basedOn w:val="Domylnaczcionkaakapitu"/>
    <w:link w:val="Nagwek9"/>
    <w:uiPriority w:val="9"/>
    <w:semiHidden/>
    <w:rsid w:val="00D278A1"/>
    <w:rPr>
      <w:rFonts w:asciiTheme="majorHAnsi" w:eastAsiaTheme="majorEastAsia" w:hAnsiTheme="majorHAnsi" w:cstheme="majorBidi"/>
      <w:bCs/>
      <w:i/>
      <w:iCs/>
      <w:color w:val="272727" w:themeColor="text1" w:themeTint="D8"/>
      <w:kern w:val="0"/>
      <w:sz w:val="21"/>
      <w:szCs w:val="21"/>
      <w:lang w:eastAsia="pl-PL"/>
      <w14:ligatures w14:val="none"/>
    </w:rPr>
  </w:style>
  <w:style w:type="paragraph" w:customStyle="1" w:styleId="Akapit1">
    <w:name w:val="Akapit1"/>
    <w:basedOn w:val="Akapitzlist"/>
    <w:link w:val="Akapit1Znak"/>
    <w:qFormat/>
    <w:rsid w:val="00954028"/>
    <w:pPr>
      <w:numPr>
        <w:ilvl w:val="1"/>
        <w:numId w:val="7"/>
      </w:numPr>
      <w:ind w:left="993" w:hanging="709"/>
      <w:contextualSpacing w:val="0"/>
    </w:pPr>
    <w:rPr>
      <w:bCs w:val="0"/>
      <w:szCs w:val="20"/>
    </w:rPr>
  </w:style>
  <w:style w:type="character" w:customStyle="1" w:styleId="Akapit1Znak">
    <w:name w:val="Akapit1 Znak"/>
    <w:basedOn w:val="AkapitzlistZnak"/>
    <w:link w:val="Akapit1"/>
    <w:rsid w:val="00954028"/>
    <w:rPr>
      <w:rFonts w:ascii="Open Sans" w:eastAsia="Calibri" w:hAnsi="Open Sans" w:cs="Open Sans"/>
      <w:bCs w:val="0"/>
      <w:kern w:val="0"/>
      <w:sz w:val="20"/>
      <w:szCs w:val="20"/>
      <w14:ligatures w14:val="none"/>
    </w:rPr>
  </w:style>
  <w:style w:type="paragraph" w:customStyle="1" w:styleId="Akapit2">
    <w:name w:val="Akapit2"/>
    <w:basedOn w:val="Akapitzlist"/>
    <w:link w:val="Akapit2Znak"/>
    <w:qFormat/>
    <w:rsid w:val="00954028"/>
    <w:pPr>
      <w:numPr>
        <w:ilvl w:val="2"/>
        <w:numId w:val="7"/>
      </w:numPr>
      <w:ind w:left="1418" w:hanging="709"/>
      <w:contextualSpacing w:val="0"/>
    </w:pPr>
  </w:style>
  <w:style w:type="character" w:customStyle="1" w:styleId="Akapit2Znak">
    <w:name w:val="Akapit2 Znak"/>
    <w:basedOn w:val="AkapitzlistZnak"/>
    <w:link w:val="Akapit2"/>
    <w:rsid w:val="00954028"/>
    <w:rPr>
      <w:rFonts w:ascii="Open Sans" w:eastAsia="Calibri" w:hAnsi="Open Sans" w:cs="Open Sans"/>
      <w:bCs/>
      <w:kern w:val="0"/>
      <w:sz w:val="20"/>
      <w14:ligatures w14:val="none"/>
    </w:rPr>
  </w:style>
  <w:style w:type="paragraph" w:customStyle="1" w:styleId="Akapit0">
    <w:name w:val="Akapit0"/>
    <w:basedOn w:val="Nagwek1"/>
    <w:link w:val="Akapit0Znak"/>
    <w:qFormat/>
    <w:rsid w:val="00954028"/>
    <w:pPr>
      <w:numPr>
        <w:numId w:val="5"/>
      </w:numPr>
      <w:ind w:left="431" w:hanging="431"/>
    </w:pPr>
  </w:style>
  <w:style w:type="character" w:customStyle="1" w:styleId="Akapit0Znak">
    <w:name w:val="Akapit0 Znak"/>
    <w:basedOn w:val="Nagwek1Znak"/>
    <w:link w:val="Akapit0"/>
    <w:rsid w:val="00954028"/>
    <w:rPr>
      <w:rFonts w:ascii="Open Sans" w:eastAsiaTheme="majorEastAsia" w:hAnsi="Open Sans" w:cs="Open Sans"/>
      <w:b/>
      <w:kern w:val="0"/>
      <w:sz w:val="20"/>
      <w:szCs w:val="20"/>
      <w:lang w:eastAsia="pl-PL"/>
      <w14:ligatures w14:val="none"/>
    </w:rPr>
  </w:style>
  <w:style w:type="paragraph" w:customStyle="1" w:styleId="Bullet-">
    <w:name w:val="Bullet -"/>
    <w:basedOn w:val="Akapitzlist"/>
    <w:link w:val="Bullet-Znak"/>
    <w:qFormat/>
    <w:rsid w:val="00954028"/>
    <w:pPr>
      <w:numPr>
        <w:numId w:val="6"/>
      </w:numPr>
    </w:pPr>
    <w:rPr>
      <w:szCs w:val="20"/>
    </w:rPr>
  </w:style>
  <w:style w:type="character" w:customStyle="1" w:styleId="Bullet-Znak">
    <w:name w:val="Bullet - Znak"/>
    <w:basedOn w:val="AkapitzlistZnak"/>
    <w:link w:val="Bullet-"/>
    <w:rsid w:val="00954028"/>
    <w:rPr>
      <w:rFonts w:ascii="Open Sans" w:eastAsia="Calibri" w:hAnsi="Open Sans" w:cs="Open Sans"/>
      <w:bCs/>
      <w:kern w:val="0"/>
      <w:sz w:val="20"/>
      <w:szCs w:val="20"/>
      <w14:ligatures w14:val="none"/>
    </w:rPr>
  </w:style>
  <w:style w:type="numbering" w:customStyle="1" w:styleId="Styl1">
    <w:name w:val="Styl1"/>
    <w:uiPriority w:val="99"/>
    <w:rsid w:val="000666DD"/>
    <w:pPr>
      <w:numPr>
        <w:numId w:val="8"/>
      </w:numPr>
    </w:pPr>
  </w:style>
  <w:style w:type="paragraph" w:customStyle="1" w:styleId="Bulletabc">
    <w:name w:val="Bullet abc"/>
    <w:basedOn w:val="Akapitzlist"/>
    <w:link w:val="BulletabcZnak"/>
    <w:qFormat/>
    <w:rsid w:val="00954028"/>
    <w:pPr>
      <w:ind w:left="0" w:firstLine="0"/>
      <w:contextualSpacing w:val="0"/>
    </w:pPr>
    <w:rPr>
      <w:szCs w:val="20"/>
    </w:rPr>
  </w:style>
  <w:style w:type="character" w:customStyle="1" w:styleId="BulletabcZnak">
    <w:name w:val="Bullet abc Znak"/>
    <w:basedOn w:val="AkapitzlistZnak"/>
    <w:link w:val="Bulletabc"/>
    <w:rsid w:val="00954028"/>
    <w:rPr>
      <w:rFonts w:ascii="Open Sans" w:eastAsia="Calibri" w:hAnsi="Open Sans" w:cs="Open Sans"/>
      <w:bCs/>
      <w:kern w:val="0"/>
      <w:sz w:val="20"/>
      <w:szCs w:val="20"/>
      <w14:ligatures w14:val="none"/>
    </w:rPr>
  </w:style>
  <w:style w:type="paragraph" w:styleId="Bezodstpw">
    <w:name w:val="No Spacing"/>
    <w:uiPriority w:val="1"/>
    <w:qFormat/>
    <w:rsid w:val="003653F0"/>
    <w:pPr>
      <w:spacing w:after="0" w:line="240" w:lineRule="auto"/>
    </w:pPr>
    <w:rPr>
      <w:rFonts w:ascii="Cambria" w:eastAsia="Times New Roman" w:hAnsi="Cambria" w:cs="Times New Roman"/>
      <w:kern w:val="0"/>
      <w:sz w:val="24"/>
      <w:szCs w:val="24"/>
      <w:lang w:eastAsia="pl-PL"/>
      <w14:ligatures w14:val="none"/>
    </w:rPr>
  </w:style>
  <w:style w:type="paragraph" w:customStyle="1" w:styleId="Bulletabc-">
    <w:name w:val="Bullet abc-"/>
    <w:basedOn w:val="Bullet-"/>
    <w:link w:val="Bulletabc-Znak"/>
    <w:qFormat/>
    <w:rsid w:val="00954028"/>
  </w:style>
  <w:style w:type="character" w:customStyle="1" w:styleId="Bulletabc-Znak">
    <w:name w:val="Bullet abc- Znak"/>
    <w:basedOn w:val="Bullet-Znak"/>
    <w:link w:val="Bulletabc-"/>
    <w:rsid w:val="00954028"/>
    <w:rPr>
      <w:rFonts w:ascii="Open Sans" w:eastAsia="Calibri" w:hAnsi="Open Sans" w:cs="Open Sans"/>
      <w:bCs/>
      <w:kern w:val="0"/>
      <w:sz w:val="20"/>
      <w:szCs w:val="20"/>
      <w14:ligatures w14:val="none"/>
    </w:rPr>
  </w:style>
  <w:style w:type="paragraph" w:styleId="Tekstprzypisukocowego">
    <w:name w:val="endnote text"/>
    <w:basedOn w:val="Normalny"/>
    <w:link w:val="TekstprzypisukocowegoZnak"/>
    <w:uiPriority w:val="99"/>
    <w:semiHidden/>
    <w:unhideWhenUsed/>
    <w:rsid w:val="00D27006"/>
    <w:pPr>
      <w:spacing w:before="0" w:line="240" w:lineRule="auto"/>
    </w:pPr>
  </w:style>
  <w:style w:type="character" w:customStyle="1" w:styleId="TekstprzypisukocowegoZnak">
    <w:name w:val="Tekst przypisu końcowego Znak"/>
    <w:basedOn w:val="Domylnaczcionkaakapitu"/>
    <w:link w:val="Tekstprzypisukocowego"/>
    <w:uiPriority w:val="99"/>
    <w:semiHidden/>
    <w:rsid w:val="00D27006"/>
    <w:rPr>
      <w:rFonts w:ascii="Open Sans" w:eastAsia="Times New Roman" w:hAnsi="Open Sans" w:cs="Open Sans"/>
      <w:bCs/>
      <w:kern w:val="0"/>
      <w:sz w:val="20"/>
      <w:szCs w:val="20"/>
      <w:lang w:eastAsia="pl-PL"/>
      <w14:ligatures w14:val="none"/>
    </w:rPr>
  </w:style>
  <w:style w:type="character" w:styleId="Odwoanieprzypisukocowego">
    <w:name w:val="endnote reference"/>
    <w:basedOn w:val="Domylnaczcionkaakapitu"/>
    <w:uiPriority w:val="99"/>
    <w:semiHidden/>
    <w:unhideWhenUsed/>
    <w:rsid w:val="00D27006"/>
    <w:rPr>
      <w:vertAlign w:val="superscript"/>
    </w:rPr>
  </w:style>
  <w:style w:type="paragraph" w:customStyle="1" w:styleId="JSparagraf">
    <w:name w:val="JS.paragraf"/>
    <w:basedOn w:val="Normalny"/>
    <w:link w:val="JSparagrafZnak"/>
    <w:autoRedefine/>
    <w:qFormat/>
    <w:rsid w:val="00DC1572"/>
    <w:pPr>
      <w:keepNext/>
      <w:tabs>
        <w:tab w:val="left" w:pos="284"/>
      </w:tabs>
      <w:spacing w:before="220"/>
      <w:ind w:left="0"/>
      <w:jc w:val="center"/>
      <w:outlineLvl w:val="0"/>
    </w:pPr>
    <w:rPr>
      <w:rFonts w:eastAsia="Calibri"/>
      <w:b/>
    </w:rPr>
  </w:style>
  <w:style w:type="character" w:customStyle="1" w:styleId="JSparagrafZnak">
    <w:name w:val="JS.paragraf Znak"/>
    <w:basedOn w:val="Domylnaczcionkaakapitu"/>
    <w:link w:val="JSparagraf"/>
    <w:rsid w:val="00DC1572"/>
    <w:rPr>
      <w:rFonts w:ascii="Open Sans" w:eastAsia="Calibri" w:hAnsi="Open Sans" w:cs="Open Sans"/>
      <w:b/>
      <w:bCs/>
      <w:kern w:val="0"/>
      <w:sz w:val="20"/>
      <w:szCs w:val="20"/>
      <w:lang w:eastAsia="pl-PL"/>
      <w14:ligatures w14:val="none"/>
    </w:rPr>
  </w:style>
  <w:style w:type="paragraph" w:customStyle="1" w:styleId="JStekst123">
    <w:name w:val="JS.tekst123."/>
    <w:basedOn w:val="Normalny"/>
    <w:link w:val="JStekst123Znak"/>
    <w:autoRedefine/>
    <w:qFormat/>
    <w:rsid w:val="00DC1572"/>
    <w:pPr>
      <w:keepNext/>
      <w:numPr>
        <w:numId w:val="33"/>
      </w:numPr>
      <w:spacing w:before="0"/>
      <w:outlineLvl w:val="2"/>
    </w:pPr>
    <w:rPr>
      <w:rFonts w:eastAsia="Calibri"/>
    </w:rPr>
  </w:style>
  <w:style w:type="character" w:customStyle="1" w:styleId="JStekst123Znak">
    <w:name w:val="JS.tekst123. Znak"/>
    <w:basedOn w:val="Domylnaczcionkaakapitu"/>
    <w:link w:val="JStekst123"/>
    <w:rsid w:val="00DC1572"/>
    <w:rPr>
      <w:rFonts w:ascii="Open Sans" w:eastAsia="Calibri" w:hAnsi="Open Sans" w:cs="Open Sans"/>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1275">
      <w:bodyDiv w:val="1"/>
      <w:marLeft w:val="0"/>
      <w:marRight w:val="0"/>
      <w:marTop w:val="0"/>
      <w:marBottom w:val="0"/>
      <w:divBdr>
        <w:top w:val="none" w:sz="0" w:space="0" w:color="auto"/>
        <w:left w:val="none" w:sz="0" w:space="0" w:color="auto"/>
        <w:bottom w:val="none" w:sz="0" w:space="0" w:color="auto"/>
        <w:right w:val="none" w:sz="0" w:space="0" w:color="auto"/>
      </w:divBdr>
    </w:div>
    <w:div w:id="983504453">
      <w:bodyDiv w:val="1"/>
      <w:marLeft w:val="0"/>
      <w:marRight w:val="0"/>
      <w:marTop w:val="0"/>
      <w:marBottom w:val="0"/>
      <w:divBdr>
        <w:top w:val="none" w:sz="0" w:space="0" w:color="auto"/>
        <w:left w:val="none" w:sz="0" w:space="0" w:color="auto"/>
        <w:bottom w:val="none" w:sz="0" w:space="0" w:color="auto"/>
        <w:right w:val="none" w:sz="0" w:space="0" w:color="auto"/>
      </w:divBdr>
    </w:div>
    <w:div w:id="1621259723">
      <w:bodyDiv w:val="1"/>
      <w:marLeft w:val="0"/>
      <w:marRight w:val="0"/>
      <w:marTop w:val="0"/>
      <w:marBottom w:val="0"/>
      <w:divBdr>
        <w:top w:val="none" w:sz="0" w:space="0" w:color="auto"/>
        <w:left w:val="none" w:sz="0" w:space="0" w:color="auto"/>
        <w:bottom w:val="none" w:sz="0" w:space="0" w:color="auto"/>
        <w:right w:val="none" w:sz="0" w:space="0" w:color="auto"/>
      </w:divBdr>
    </w:div>
    <w:div w:id="2074424008">
      <w:bodyDiv w:val="1"/>
      <w:marLeft w:val="0"/>
      <w:marRight w:val="0"/>
      <w:marTop w:val="0"/>
      <w:marBottom w:val="0"/>
      <w:divBdr>
        <w:top w:val="none" w:sz="0" w:space="0" w:color="auto"/>
        <w:left w:val="none" w:sz="0" w:space="0" w:color="auto"/>
        <w:bottom w:val="none" w:sz="0" w:space="0" w:color="auto"/>
        <w:right w:val="none" w:sz="0" w:space="0" w:color="auto"/>
      </w:divBdr>
      <w:divsChild>
        <w:div w:id="1801652134">
          <w:marLeft w:val="0"/>
          <w:marRight w:val="0"/>
          <w:marTop w:val="72"/>
          <w:marBottom w:val="0"/>
          <w:divBdr>
            <w:top w:val="none" w:sz="0" w:space="0" w:color="auto"/>
            <w:left w:val="none" w:sz="0" w:space="0" w:color="auto"/>
            <w:bottom w:val="none" w:sz="0" w:space="0" w:color="auto"/>
            <w:right w:val="none" w:sz="0" w:space="0" w:color="auto"/>
          </w:divBdr>
          <w:divsChild>
            <w:div w:id="90589522">
              <w:marLeft w:val="360"/>
              <w:marRight w:val="0"/>
              <w:marTop w:val="0"/>
              <w:marBottom w:val="72"/>
              <w:divBdr>
                <w:top w:val="none" w:sz="0" w:space="0" w:color="auto"/>
                <w:left w:val="none" w:sz="0" w:space="0" w:color="auto"/>
                <w:bottom w:val="none" w:sz="0" w:space="0" w:color="auto"/>
                <w:right w:val="none" w:sz="0" w:space="0" w:color="auto"/>
              </w:divBdr>
              <w:divsChild>
                <w:div w:id="267088010">
                  <w:marLeft w:val="0"/>
                  <w:marRight w:val="0"/>
                  <w:marTop w:val="0"/>
                  <w:marBottom w:val="0"/>
                  <w:divBdr>
                    <w:top w:val="none" w:sz="0" w:space="0" w:color="auto"/>
                    <w:left w:val="none" w:sz="0" w:space="0" w:color="auto"/>
                    <w:bottom w:val="none" w:sz="0" w:space="0" w:color="auto"/>
                    <w:right w:val="none" w:sz="0" w:space="0" w:color="auto"/>
                  </w:divBdr>
                </w:div>
              </w:divsChild>
            </w:div>
            <w:div w:id="136454824">
              <w:marLeft w:val="360"/>
              <w:marRight w:val="0"/>
              <w:marTop w:val="0"/>
              <w:marBottom w:val="72"/>
              <w:divBdr>
                <w:top w:val="none" w:sz="0" w:space="0" w:color="auto"/>
                <w:left w:val="none" w:sz="0" w:space="0" w:color="auto"/>
                <w:bottom w:val="none" w:sz="0" w:space="0" w:color="auto"/>
                <w:right w:val="none" w:sz="0" w:space="0" w:color="auto"/>
              </w:divBdr>
              <w:divsChild>
                <w:div w:id="2027174923">
                  <w:marLeft w:val="0"/>
                  <w:marRight w:val="0"/>
                  <w:marTop w:val="0"/>
                  <w:marBottom w:val="0"/>
                  <w:divBdr>
                    <w:top w:val="none" w:sz="0" w:space="0" w:color="auto"/>
                    <w:left w:val="none" w:sz="0" w:space="0" w:color="auto"/>
                    <w:bottom w:val="none" w:sz="0" w:space="0" w:color="auto"/>
                    <w:right w:val="none" w:sz="0" w:space="0" w:color="auto"/>
                  </w:divBdr>
                </w:div>
              </w:divsChild>
            </w:div>
            <w:div w:id="320237352">
              <w:marLeft w:val="360"/>
              <w:marRight w:val="0"/>
              <w:marTop w:val="0"/>
              <w:marBottom w:val="72"/>
              <w:divBdr>
                <w:top w:val="none" w:sz="0" w:space="0" w:color="auto"/>
                <w:left w:val="none" w:sz="0" w:space="0" w:color="auto"/>
                <w:bottom w:val="none" w:sz="0" w:space="0" w:color="auto"/>
                <w:right w:val="none" w:sz="0" w:space="0" w:color="auto"/>
              </w:divBdr>
              <w:divsChild>
                <w:div w:id="125583165">
                  <w:marLeft w:val="0"/>
                  <w:marRight w:val="0"/>
                  <w:marTop w:val="0"/>
                  <w:marBottom w:val="0"/>
                  <w:divBdr>
                    <w:top w:val="none" w:sz="0" w:space="0" w:color="auto"/>
                    <w:left w:val="none" w:sz="0" w:space="0" w:color="auto"/>
                    <w:bottom w:val="none" w:sz="0" w:space="0" w:color="auto"/>
                    <w:right w:val="none" w:sz="0" w:space="0" w:color="auto"/>
                  </w:divBdr>
                </w:div>
              </w:divsChild>
            </w:div>
            <w:div w:id="371923677">
              <w:marLeft w:val="360"/>
              <w:marRight w:val="0"/>
              <w:marTop w:val="0"/>
              <w:marBottom w:val="72"/>
              <w:divBdr>
                <w:top w:val="none" w:sz="0" w:space="0" w:color="auto"/>
                <w:left w:val="none" w:sz="0" w:space="0" w:color="auto"/>
                <w:bottom w:val="none" w:sz="0" w:space="0" w:color="auto"/>
                <w:right w:val="none" w:sz="0" w:space="0" w:color="auto"/>
              </w:divBdr>
              <w:divsChild>
                <w:div w:id="1528370892">
                  <w:marLeft w:val="0"/>
                  <w:marRight w:val="0"/>
                  <w:marTop w:val="0"/>
                  <w:marBottom w:val="0"/>
                  <w:divBdr>
                    <w:top w:val="none" w:sz="0" w:space="0" w:color="auto"/>
                    <w:left w:val="none" w:sz="0" w:space="0" w:color="auto"/>
                    <w:bottom w:val="none" w:sz="0" w:space="0" w:color="auto"/>
                    <w:right w:val="none" w:sz="0" w:space="0" w:color="auto"/>
                  </w:divBdr>
                </w:div>
              </w:divsChild>
            </w:div>
            <w:div w:id="830605410">
              <w:marLeft w:val="0"/>
              <w:marRight w:val="0"/>
              <w:marTop w:val="0"/>
              <w:marBottom w:val="0"/>
              <w:divBdr>
                <w:top w:val="none" w:sz="0" w:space="0" w:color="auto"/>
                <w:left w:val="none" w:sz="0" w:space="0" w:color="auto"/>
                <w:bottom w:val="none" w:sz="0" w:space="0" w:color="auto"/>
                <w:right w:val="none" w:sz="0" w:space="0" w:color="auto"/>
              </w:divBdr>
            </w:div>
            <w:div w:id="958336577">
              <w:marLeft w:val="360"/>
              <w:marRight w:val="0"/>
              <w:marTop w:val="0"/>
              <w:marBottom w:val="72"/>
              <w:divBdr>
                <w:top w:val="none" w:sz="0" w:space="0" w:color="auto"/>
                <w:left w:val="none" w:sz="0" w:space="0" w:color="auto"/>
                <w:bottom w:val="none" w:sz="0" w:space="0" w:color="auto"/>
                <w:right w:val="none" w:sz="0" w:space="0" w:color="auto"/>
              </w:divBdr>
              <w:divsChild>
                <w:div w:id="2096394446">
                  <w:marLeft w:val="0"/>
                  <w:marRight w:val="0"/>
                  <w:marTop w:val="0"/>
                  <w:marBottom w:val="0"/>
                  <w:divBdr>
                    <w:top w:val="none" w:sz="0" w:space="0" w:color="auto"/>
                    <w:left w:val="none" w:sz="0" w:space="0" w:color="auto"/>
                    <w:bottom w:val="none" w:sz="0" w:space="0" w:color="auto"/>
                    <w:right w:val="none" w:sz="0" w:space="0" w:color="auto"/>
                  </w:divBdr>
                </w:div>
              </w:divsChild>
            </w:div>
            <w:div w:id="961418671">
              <w:marLeft w:val="360"/>
              <w:marRight w:val="0"/>
              <w:marTop w:val="0"/>
              <w:marBottom w:val="72"/>
              <w:divBdr>
                <w:top w:val="none" w:sz="0" w:space="0" w:color="auto"/>
                <w:left w:val="none" w:sz="0" w:space="0" w:color="auto"/>
                <w:bottom w:val="none" w:sz="0" w:space="0" w:color="auto"/>
                <w:right w:val="none" w:sz="0" w:space="0" w:color="auto"/>
              </w:divBdr>
              <w:divsChild>
                <w:div w:id="1570537366">
                  <w:marLeft w:val="0"/>
                  <w:marRight w:val="0"/>
                  <w:marTop w:val="0"/>
                  <w:marBottom w:val="0"/>
                  <w:divBdr>
                    <w:top w:val="none" w:sz="0" w:space="0" w:color="auto"/>
                    <w:left w:val="none" w:sz="0" w:space="0" w:color="auto"/>
                    <w:bottom w:val="none" w:sz="0" w:space="0" w:color="auto"/>
                    <w:right w:val="none" w:sz="0" w:space="0" w:color="auto"/>
                  </w:divBdr>
                </w:div>
              </w:divsChild>
            </w:div>
            <w:div w:id="1034354852">
              <w:marLeft w:val="360"/>
              <w:marRight w:val="0"/>
              <w:marTop w:val="0"/>
              <w:marBottom w:val="72"/>
              <w:divBdr>
                <w:top w:val="none" w:sz="0" w:space="0" w:color="auto"/>
                <w:left w:val="none" w:sz="0" w:space="0" w:color="auto"/>
                <w:bottom w:val="none" w:sz="0" w:space="0" w:color="auto"/>
                <w:right w:val="none" w:sz="0" w:space="0" w:color="auto"/>
              </w:divBdr>
              <w:divsChild>
                <w:div w:id="571499925">
                  <w:marLeft w:val="0"/>
                  <w:marRight w:val="0"/>
                  <w:marTop w:val="0"/>
                  <w:marBottom w:val="0"/>
                  <w:divBdr>
                    <w:top w:val="none" w:sz="0" w:space="0" w:color="auto"/>
                    <w:left w:val="none" w:sz="0" w:space="0" w:color="auto"/>
                    <w:bottom w:val="none" w:sz="0" w:space="0" w:color="auto"/>
                    <w:right w:val="none" w:sz="0" w:space="0" w:color="auto"/>
                  </w:divBdr>
                </w:div>
              </w:divsChild>
            </w:div>
            <w:div w:id="1133863979">
              <w:marLeft w:val="360"/>
              <w:marRight w:val="0"/>
              <w:marTop w:val="72"/>
              <w:marBottom w:val="72"/>
              <w:divBdr>
                <w:top w:val="none" w:sz="0" w:space="0" w:color="auto"/>
                <w:left w:val="none" w:sz="0" w:space="0" w:color="auto"/>
                <w:bottom w:val="none" w:sz="0" w:space="0" w:color="auto"/>
                <w:right w:val="none" w:sz="0" w:space="0" w:color="auto"/>
              </w:divBdr>
              <w:divsChild>
                <w:div w:id="534392527">
                  <w:marLeft w:val="0"/>
                  <w:marRight w:val="0"/>
                  <w:marTop w:val="0"/>
                  <w:marBottom w:val="0"/>
                  <w:divBdr>
                    <w:top w:val="none" w:sz="0" w:space="0" w:color="auto"/>
                    <w:left w:val="none" w:sz="0" w:space="0" w:color="auto"/>
                    <w:bottom w:val="none" w:sz="0" w:space="0" w:color="auto"/>
                    <w:right w:val="none" w:sz="0" w:space="0" w:color="auto"/>
                  </w:divBdr>
                </w:div>
              </w:divsChild>
            </w:div>
            <w:div w:id="1367675224">
              <w:marLeft w:val="360"/>
              <w:marRight w:val="0"/>
              <w:marTop w:val="0"/>
              <w:marBottom w:val="72"/>
              <w:divBdr>
                <w:top w:val="none" w:sz="0" w:space="0" w:color="auto"/>
                <w:left w:val="none" w:sz="0" w:space="0" w:color="auto"/>
                <w:bottom w:val="none" w:sz="0" w:space="0" w:color="auto"/>
                <w:right w:val="none" w:sz="0" w:space="0" w:color="auto"/>
              </w:divBdr>
              <w:divsChild>
                <w:div w:id="1787505282">
                  <w:marLeft w:val="0"/>
                  <w:marRight w:val="0"/>
                  <w:marTop w:val="0"/>
                  <w:marBottom w:val="0"/>
                  <w:divBdr>
                    <w:top w:val="none" w:sz="0" w:space="0" w:color="auto"/>
                    <w:left w:val="none" w:sz="0" w:space="0" w:color="auto"/>
                    <w:bottom w:val="none" w:sz="0" w:space="0" w:color="auto"/>
                    <w:right w:val="none" w:sz="0" w:space="0" w:color="auto"/>
                  </w:divBdr>
                </w:div>
              </w:divsChild>
            </w:div>
            <w:div w:id="1404721702">
              <w:marLeft w:val="360"/>
              <w:marRight w:val="0"/>
              <w:marTop w:val="0"/>
              <w:marBottom w:val="72"/>
              <w:divBdr>
                <w:top w:val="none" w:sz="0" w:space="0" w:color="auto"/>
                <w:left w:val="none" w:sz="0" w:space="0" w:color="auto"/>
                <w:bottom w:val="none" w:sz="0" w:space="0" w:color="auto"/>
                <w:right w:val="none" w:sz="0" w:space="0" w:color="auto"/>
              </w:divBdr>
              <w:divsChild>
                <w:div w:id="1145581310">
                  <w:marLeft w:val="0"/>
                  <w:marRight w:val="0"/>
                  <w:marTop w:val="0"/>
                  <w:marBottom w:val="0"/>
                  <w:divBdr>
                    <w:top w:val="none" w:sz="0" w:space="0" w:color="auto"/>
                    <w:left w:val="none" w:sz="0" w:space="0" w:color="auto"/>
                    <w:bottom w:val="none" w:sz="0" w:space="0" w:color="auto"/>
                    <w:right w:val="none" w:sz="0" w:space="0" w:color="auto"/>
                  </w:divBdr>
                </w:div>
              </w:divsChild>
            </w:div>
            <w:div w:id="1697149032">
              <w:marLeft w:val="360"/>
              <w:marRight w:val="0"/>
              <w:marTop w:val="0"/>
              <w:marBottom w:val="72"/>
              <w:divBdr>
                <w:top w:val="none" w:sz="0" w:space="0" w:color="auto"/>
                <w:left w:val="none" w:sz="0" w:space="0" w:color="auto"/>
                <w:bottom w:val="none" w:sz="0" w:space="0" w:color="auto"/>
                <w:right w:val="none" w:sz="0" w:space="0" w:color="auto"/>
              </w:divBdr>
              <w:divsChild>
                <w:div w:id="307055804">
                  <w:marLeft w:val="0"/>
                  <w:marRight w:val="0"/>
                  <w:marTop w:val="0"/>
                  <w:marBottom w:val="0"/>
                  <w:divBdr>
                    <w:top w:val="none" w:sz="0" w:space="0" w:color="auto"/>
                    <w:left w:val="none" w:sz="0" w:space="0" w:color="auto"/>
                    <w:bottom w:val="none" w:sz="0" w:space="0" w:color="auto"/>
                    <w:right w:val="none" w:sz="0" w:space="0" w:color="auto"/>
                  </w:divBdr>
                </w:div>
              </w:divsChild>
            </w:div>
            <w:div w:id="1703240938">
              <w:marLeft w:val="360"/>
              <w:marRight w:val="0"/>
              <w:marTop w:val="0"/>
              <w:marBottom w:val="72"/>
              <w:divBdr>
                <w:top w:val="none" w:sz="0" w:space="0" w:color="auto"/>
                <w:left w:val="none" w:sz="0" w:space="0" w:color="auto"/>
                <w:bottom w:val="none" w:sz="0" w:space="0" w:color="auto"/>
                <w:right w:val="none" w:sz="0" w:space="0" w:color="auto"/>
              </w:divBdr>
              <w:divsChild>
                <w:div w:id="1926916006">
                  <w:marLeft w:val="0"/>
                  <w:marRight w:val="0"/>
                  <w:marTop w:val="0"/>
                  <w:marBottom w:val="0"/>
                  <w:divBdr>
                    <w:top w:val="none" w:sz="0" w:space="0" w:color="auto"/>
                    <w:left w:val="none" w:sz="0" w:space="0" w:color="auto"/>
                    <w:bottom w:val="none" w:sz="0" w:space="0" w:color="auto"/>
                    <w:right w:val="none" w:sz="0" w:space="0" w:color="auto"/>
                  </w:divBdr>
                </w:div>
              </w:divsChild>
            </w:div>
            <w:div w:id="1731612232">
              <w:marLeft w:val="360"/>
              <w:marRight w:val="0"/>
              <w:marTop w:val="0"/>
              <w:marBottom w:val="72"/>
              <w:divBdr>
                <w:top w:val="none" w:sz="0" w:space="0" w:color="auto"/>
                <w:left w:val="none" w:sz="0" w:space="0" w:color="auto"/>
                <w:bottom w:val="none" w:sz="0" w:space="0" w:color="auto"/>
                <w:right w:val="none" w:sz="0" w:space="0" w:color="auto"/>
              </w:divBdr>
              <w:divsChild>
                <w:div w:id="1866753394">
                  <w:marLeft w:val="0"/>
                  <w:marRight w:val="0"/>
                  <w:marTop w:val="0"/>
                  <w:marBottom w:val="0"/>
                  <w:divBdr>
                    <w:top w:val="none" w:sz="0" w:space="0" w:color="auto"/>
                    <w:left w:val="none" w:sz="0" w:space="0" w:color="auto"/>
                    <w:bottom w:val="none" w:sz="0" w:space="0" w:color="auto"/>
                    <w:right w:val="none" w:sz="0" w:space="0" w:color="auto"/>
                  </w:divBdr>
                </w:div>
              </w:divsChild>
            </w:div>
            <w:div w:id="1844389946">
              <w:marLeft w:val="360"/>
              <w:marRight w:val="0"/>
              <w:marTop w:val="0"/>
              <w:marBottom w:val="72"/>
              <w:divBdr>
                <w:top w:val="none" w:sz="0" w:space="0" w:color="auto"/>
                <w:left w:val="none" w:sz="0" w:space="0" w:color="auto"/>
                <w:bottom w:val="none" w:sz="0" w:space="0" w:color="auto"/>
                <w:right w:val="none" w:sz="0" w:space="0" w:color="auto"/>
              </w:divBdr>
              <w:divsChild>
                <w:div w:id="1467383720">
                  <w:marLeft w:val="0"/>
                  <w:marRight w:val="0"/>
                  <w:marTop w:val="0"/>
                  <w:marBottom w:val="0"/>
                  <w:divBdr>
                    <w:top w:val="none" w:sz="0" w:space="0" w:color="auto"/>
                    <w:left w:val="none" w:sz="0" w:space="0" w:color="auto"/>
                    <w:bottom w:val="none" w:sz="0" w:space="0" w:color="auto"/>
                    <w:right w:val="none" w:sz="0" w:space="0" w:color="auto"/>
                  </w:divBdr>
                </w:div>
              </w:divsChild>
            </w:div>
            <w:div w:id="1924946837">
              <w:marLeft w:val="360"/>
              <w:marRight w:val="0"/>
              <w:marTop w:val="0"/>
              <w:marBottom w:val="72"/>
              <w:divBdr>
                <w:top w:val="none" w:sz="0" w:space="0" w:color="auto"/>
                <w:left w:val="none" w:sz="0" w:space="0" w:color="auto"/>
                <w:bottom w:val="none" w:sz="0" w:space="0" w:color="auto"/>
                <w:right w:val="none" w:sz="0" w:space="0" w:color="auto"/>
              </w:divBdr>
              <w:divsChild>
                <w:div w:id="308559209">
                  <w:marLeft w:val="0"/>
                  <w:marRight w:val="0"/>
                  <w:marTop w:val="0"/>
                  <w:marBottom w:val="0"/>
                  <w:divBdr>
                    <w:top w:val="none" w:sz="0" w:space="0" w:color="auto"/>
                    <w:left w:val="none" w:sz="0" w:space="0" w:color="auto"/>
                    <w:bottom w:val="none" w:sz="0" w:space="0" w:color="auto"/>
                    <w:right w:val="none" w:sz="0" w:space="0" w:color="auto"/>
                  </w:divBdr>
                </w:div>
              </w:divsChild>
            </w:div>
            <w:div w:id="1984921172">
              <w:marLeft w:val="360"/>
              <w:marRight w:val="0"/>
              <w:marTop w:val="0"/>
              <w:marBottom w:val="72"/>
              <w:divBdr>
                <w:top w:val="none" w:sz="0" w:space="0" w:color="auto"/>
                <w:left w:val="none" w:sz="0" w:space="0" w:color="auto"/>
                <w:bottom w:val="none" w:sz="0" w:space="0" w:color="auto"/>
                <w:right w:val="none" w:sz="0" w:space="0" w:color="auto"/>
              </w:divBdr>
              <w:divsChild>
                <w:div w:id="1440947785">
                  <w:marLeft w:val="0"/>
                  <w:marRight w:val="0"/>
                  <w:marTop w:val="0"/>
                  <w:marBottom w:val="0"/>
                  <w:divBdr>
                    <w:top w:val="none" w:sz="0" w:space="0" w:color="auto"/>
                    <w:left w:val="none" w:sz="0" w:space="0" w:color="auto"/>
                    <w:bottom w:val="none" w:sz="0" w:space="0" w:color="auto"/>
                    <w:right w:val="none" w:sz="0" w:space="0" w:color="auto"/>
                  </w:divBdr>
                </w:div>
              </w:divsChild>
            </w:div>
            <w:div w:id="2116438260">
              <w:marLeft w:val="360"/>
              <w:marRight w:val="0"/>
              <w:marTop w:val="0"/>
              <w:marBottom w:val="72"/>
              <w:divBdr>
                <w:top w:val="none" w:sz="0" w:space="0" w:color="auto"/>
                <w:left w:val="none" w:sz="0" w:space="0" w:color="auto"/>
                <w:bottom w:val="none" w:sz="0" w:space="0" w:color="auto"/>
                <w:right w:val="none" w:sz="0" w:space="0" w:color="auto"/>
              </w:divBdr>
              <w:divsChild>
                <w:div w:id="4136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niaetyki@kghm.com"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Props1.xml><?xml version="1.0" encoding="utf-8"?>
<ds:datastoreItem xmlns:ds="http://schemas.openxmlformats.org/officeDocument/2006/customXml" ds:itemID="{7C83D87F-3CEC-4659-BA89-2CA82CB5EEE6}">
  <ds:schemaRefs>
    <ds:schemaRef ds:uri="http://schemas.openxmlformats.org/officeDocument/2006/bibliography"/>
  </ds:schemaRefs>
</ds:datastoreItem>
</file>

<file path=customXml/itemProps2.xml><?xml version="1.0" encoding="utf-8"?>
<ds:datastoreItem xmlns:ds="http://schemas.openxmlformats.org/officeDocument/2006/customXml" ds:itemID="{19C4441F-AD7B-4380-975F-C343BD3B319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3710</Words>
  <Characters>22264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Smalarz Barbara</dc:creator>
  <cp:keywords/>
  <dc:description/>
  <cp:lastModifiedBy>Kontny Agnieszka</cp:lastModifiedBy>
  <cp:revision>2</cp:revision>
  <cp:lastPrinted>2025-08-14T08:58:00Z</cp:lastPrinted>
  <dcterms:created xsi:type="dcterms:W3CDTF">2026-02-09T07:57:00Z</dcterms:created>
  <dcterms:modified xsi:type="dcterms:W3CDTF">2026-02-09T07:57:00Z</dcterms:modified>
</cp:coreProperties>
</file>